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pPr>
      <w:r>
        <w:rPr>
          <w:rFonts w:ascii="Times New Roman"/>
        </w:rPr>
        <w:t>ICS</w:t>
      </w:r>
      <w:r>
        <w:rPr>
          <w:rFonts w:hint="eastAsia" w:hAnsi="黑体"/>
        </w:rPr>
        <w:t xml:space="preserve"> </w:t>
      </w:r>
      <w:r>
        <w:rPr>
          <w:rFonts w:hint="eastAsia"/>
        </w:rPr>
        <w:t>67</w:t>
      </w:r>
      <w:r>
        <w:t>.</w:t>
      </w:r>
      <w:r>
        <w:rPr>
          <w:rFonts w:hint="eastAsia"/>
        </w:rPr>
        <w:t>080.20</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27"/>
              <w:framePr w:wrap="around"/>
            </w:pPr>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a:effectLst/>
                            </wps:spPr>
                            <wps:bodyPr wrap="square" upright="1"/>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K4v7NUAAAAHAQAADwAAAAAAAAABACAAAAAiAAAAZHJzL2Rvd25yZXYueG1sUEsBAhQA&#10;FAAAAAgAh07iQF4U5VK8AQAAfgMAAA4AAAAAAAAAAQAgAAAAJAEAAGRycy9lMm9Eb2MueG1sUEsF&#10;BgAAAAAGAAYAWQEAAFIFAAAAAA==&#10;">
                      <v:fill on="t" focussize="0,0"/>
                      <v:stroke on="f"/>
                      <v:imagedata o:title=""/>
                      <o:lock v:ext="edit" aspectratio="f"/>
                    </v:rect>
                  </w:pict>
                </mc:Fallback>
              </mc:AlternateContent>
            </w:r>
            <w:r>
              <w:rPr>
                <w:rFonts w:hint="eastAsia" w:ascii="Times New Roman"/>
              </w:rPr>
              <w:t>B</w:t>
            </w:r>
            <w:r>
              <w:rPr>
                <w:rFonts w:hint="eastAsia"/>
              </w:rPr>
              <w:t xml:space="preserve"> 31</w:t>
            </w:r>
          </w:p>
        </w:tc>
      </w:tr>
    </w:tbl>
    <w:p/>
    <w:p>
      <w:pPr>
        <w:pStyle w:val="72"/>
        <w:framePr w:wrap="around"/>
        <w:spacing w:line="360" w:lineRule="auto"/>
        <w:rPr>
          <w:rFonts w:hint="eastAsia"/>
          <w:lang w:eastAsia="zh-CN"/>
        </w:rPr>
      </w:pPr>
      <w:r>
        <w:rPr>
          <w:rFonts w:hint="eastAsia"/>
          <w:lang w:eastAsia="zh-CN"/>
        </w:rPr>
        <w:t>大红</w:t>
      </w:r>
      <w:r>
        <w:rPr>
          <w:rFonts w:hint="eastAsia"/>
        </w:rPr>
        <w:t>番茄</w:t>
      </w:r>
      <w:r>
        <w:rPr>
          <w:rFonts w:hint="eastAsia"/>
          <w:lang w:eastAsia="zh-CN"/>
        </w:rPr>
        <w:t>种植流通规范</w:t>
      </w:r>
    </w:p>
    <w:p>
      <w:pPr>
        <w:pStyle w:val="72"/>
        <w:framePr w:wrap="around"/>
        <w:spacing w:line="360" w:lineRule="auto"/>
        <w:rPr>
          <w:rFonts w:hint="eastAsia"/>
          <w:sz w:val="28"/>
          <w:szCs w:val="28"/>
          <w:lang w:eastAsia="zh-CN"/>
        </w:rPr>
      </w:pPr>
      <w:r>
        <w:rPr>
          <w:rFonts w:hint="eastAsia"/>
          <w:sz w:val="28"/>
          <w:szCs w:val="28"/>
          <w:lang w:eastAsia="zh-CN"/>
        </w:rPr>
        <w:t>Planting and distribution practice for red tomatoes</w:t>
      </w:r>
    </w:p>
    <w:p>
      <w:pPr>
        <w:pStyle w:val="70"/>
        <w:framePr w:wrap="around"/>
        <w:spacing w:line="360" w:lineRule="auto"/>
        <w:rPr>
          <w:b/>
        </w:rPr>
      </w:pPr>
      <w:r>
        <w:rPr>
          <w:rFonts w:hint="eastAsia"/>
          <w:b/>
        </w:rPr>
        <w:t>（</w:t>
      </w:r>
      <w:r>
        <w:rPr>
          <w:rFonts w:hint="eastAsia"/>
          <w:b/>
          <w:lang w:eastAsia="zh-CN"/>
        </w:rPr>
        <w:t>征求意见稿</w:t>
      </w:r>
      <w:r>
        <w:rPr>
          <w:rFonts w:hint="eastAsia"/>
          <w:b/>
        </w:rPr>
        <w:t>）</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p>
          <w:p>
            <w:pPr>
              <w:pStyle w:val="79"/>
              <w:framePr w:wrap="around"/>
            </w:pPr>
            <w: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a:effectLst/>
                            </wps:spPr>
                            <wps:bodyPr wrap="square" upright="1"/>
                          </wps:wsp>
                        </a:graphicData>
                      </a:graphic>
                    </wp:anchor>
                  </w:drawing>
                </mc:Choice>
                <mc:Fallback>
                  <w:pict>
                    <v:rect id="RQ"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ia6S1QAAAAoBAAAPAAAAAAAAAAEAIAAAACIAAABkcnMvZG93bnJldi54bWxQSwECFAAUAAAACACH&#10;TuJA7Nd5YLUBAAB+AwAADgAAAAAAAAABACAAAAAkAQAAZHJzL2Uyb0RvYy54bWxQSwUGAAAAAAYA&#10;BgBZAQAASwUAAAAA&#10;">
                      <v:fill on="t" focussize="0,0"/>
                      <v:stroke on="f"/>
                      <v:imagedata o:title=""/>
                      <o:lock v:ext="edit" aspectratio="f"/>
                      <w10:anchorlock/>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bodyPr wrap="square" upright="1"/>
                          </wps:wsp>
                        </a:graphicData>
                      </a:graphic>
                    </wp:anchor>
                  </w:drawing>
                </mc:Choice>
                <mc:Fallback>
                  <w:pict>
                    <v:rect id="LB"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L5dYAAAAJAQAADwAAAAAAAAABACAAAAAiAAAAZHJzL2Rvd25yZXYueG1sUEsBAhQAFAAAAAgA&#10;h07iQGmF6dy1AQAAfgMAAA4AAAAAAAAAAQAgAAAAJQEAAGRycy9lMm9Eb2MueG1sUEsFBgAAAAAG&#10;AAYAWQEAAEw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20"/>
              <w:framePr w:wrap="around"/>
            </w:pPr>
          </w:p>
        </w:tc>
      </w:tr>
    </w:tbl>
    <w:p>
      <w:pPr>
        <w:pStyle w:val="77"/>
        <w:framePr w:wrap="around" w:hAnchor="page" w:x="1186" w:y="14071"/>
      </w:pPr>
      <w:r>
        <w:rPr>
          <w:rFonts w:hint="eastAsia" w:ascii="黑体"/>
          <w:lang w:val="en-US" w:eastAsia="zh-CN"/>
        </w:rPr>
        <w:t>XXXX</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0"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0"/>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dr&#10;PNYAAAALAQAADwAAAAAAAAABACAAAAAiAAAAZHJzL2Rvd25yZXYueG1sUEsBAhQAFAAAAAgAh07i&#10;QO+lZmrrAQAA6gMAAA4AAAAAAAAAAQAgAAAAJQEAAGRycy9lMm9Eb2MueG1sUEsFBgAAAAAGAAYA&#10;WQEAAIIFAAAAAA==&#10;">
                <v:fill on="f" focussize="0,0"/>
                <v:stroke color="#000000" joinstyle="round"/>
                <v:imagedata o:title=""/>
                <o:lock v:ext="edit" aspectratio="f"/>
                <w10:anchorlock/>
              </v:line>
            </w:pict>
          </mc:Fallback>
        </mc:AlternateContent>
      </w:r>
    </w:p>
    <w:p>
      <w:pPr>
        <w:pStyle w:val="92"/>
        <w:framePr w:wrap="around" w:hAnchor="page" w:x="6946" w:y="14086"/>
      </w:pPr>
      <w:r>
        <w:rPr>
          <w:rFonts w:hint="eastAsia" w:ascii="黑体"/>
          <w:lang w:val="en-US" w:eastAsia="zh-CN"/>
        </w:rPr>
        <w:t>XXXX</w:t>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2"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实施</w:t>
      </w:r>
    </w:p>
    <w:p>
      <w:pPr>
        <w:pStyle w:val="89"/>
        <w:framePr w:w="7886" w:wrap="around"/>
      </w:pPr>
      <w:r>
        <w:rPr>
          <w:b/>
        </w:rPr>
        <w:t>深圳市</w:t>
      </w:r>
      <w:r>
        <w:rPr>
          <w:rFonts w:hint="eastAsia"/>
          <w:b/>
        </w:rPr>
        <w:t>蔬菜批发协</w:t>
      </w:r>
      <w:r>
        <w:rPr>
          <w:b/>
        </w:rPr>
        <w:t>会</w:t>
      </w:r>
      <w:r>
        <w:rPr>
          <w:rFonts w:hAnsi="黑体"/>
        </w:rPr>
        <w:t> </w:t>
      </w:r>
      <w:r>
        <w:rPr>
          <w:rFonts w:hint="eastAsia"/>
        </w:rPr>
        <w:t>发布</w:t>
      </w:r>
    </w:p>
    <w:p>
      <w:pPr>
        <w:pStyle w:val="101"/>
        <w:framePr w:w="8058" w:wrap="around" w:x="2115" w:y="2131"/>
        <w:rPr>
          <w:b/>
          <w:sz w:val="72"/>
        </w:rPr>
      </w:pPr>
      <w:r>
        <w:rPr>
          <w:rFonts w:hint="eastAsia"/>
          <w:b/>
          <w:sz w:val="96"/>
        </w:rPr>
        <w:t>团体标准</w:t>
      </w:r>
    </w:p>
    <w:p>
      <w:pPr>
        <w:pStyle w:val="122"/>
        <w:framePr w:wrap="around" w:x="1667" w:y="3151"/>
        <w:rPr>
          <w:rFonts w:hint="default" w:ascii="Times New Roman" w:eastAsia="黑体"/>
          <w:lang w:val="en-US" w:eastAsia="zh-CN"/>
        </w:rPr>
      </w:pPr>
      <w:r>
        <w:rPr>
          <w:rFonts w:ascii="Times New Roman"/>
        </w:rPr>
        <w:t>T/</w:t>
      </w:r>
      <w:r>
        <w:rPr>
          <w:rFonts w:hint="eastAsia" w:ascii="Times New Roman"/>
          <w:lang w:val="en-US" w:eastAsia="zh-CN"/>
        </w:rPr>
        <w:t>XXXX</w:t>
      </w:r>
      <w:r>
        <w:rPr>
          <w:rFonts w:ascii="Times New Roman"/>
        </w:rPr>
        <w:t>—</w:t>
      </w:r>
      <w:r>
        <w:rPr>
          <w:rFonts w:hint="eastAsia" w:ascii="Times New Roman"/>
          <w:lang w:val="en-US" w:eastAsia="zh-CN"/>
        </w:rPr>
        <w:t>2023</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0"/>
              <w:framePr w:wrap="around" w:x="1667" w:y="3151"/>
              <w:ind w:right="105"/>
            </w:pPr>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bodyPr wrap="square" upright="1"/>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5g8svWAAAACAEAAA8AAAAAAAAAAQAgAAAAIgAAAGRycy9kb3ducmV2LnhtbFBLAQIUABQAAAAI&#10;AIdO4kDil2RBtgEAAH4DAAAOAAAAAAAAAAEAIAAAACUBAABkcnMvZTJvRG9jLnhtbFBLBQYAAAAA&#10;BgAGAFkBAABNBQAAAAA=&#10;">
                      <v:fill on="t" focussize="0,0"/>
                      <v:stroke on="f"/>
                      <v:imagedata o:title=""/>
                      <o:lock v:ext="edit" aspectratio="f"/>
                    </v:rect>
                  </w:pict>
                </mc:Fallback>
              </mc:AlternateContent>
            </w:r>
          </w:p>
        </w:tc>
      </w:tr>
    </w:tbl>
    <w:p>
      <w:pPr>
        <w:pStyle w:val="122"/>
        <w:framePr w:wrap="around" w:x="1667" w:y="3151"/>
        <w:rPr>
          <w:rFonts w:hAnsi="黑体"/>
        </w:rPr>
      </w:pPr>
    </w:p>
    <w:p>
      <w:pPr>
        <w:pStyle w:val="122"/>
        <w:framePr w:wrap="around" w:x="1667" w:y="3151"/>
        <w:rPr>
          <w:rFonts w:hAnsi="黑体"/>
        </w:rPr>
      </w:pPr>
    </w:p>
    <w:p>
      <w:pPr>
        <w:pStyle w:val="24"/>
        <w:ind w:left="-140" w:leftChars="-67" w:firstLine="0" w:firstLineChars="0"/>
        <w:sectPr>
          <w:footerReference r:id="rId6" w:type="first"/>
          <w:footerReference r:id="rId4" w:type="default"/>
          <w:headerReference r:id="rId3" w:type="even"/>
          <w:footerReference r:id="rId5" w:type="even"/>
          <w:pgSz w:w="11906" w:h="16838"/>
          <w:pgMar w:top="567" w:right="851" w:bottom="1134" w:left="1418" w:header="0" w:footer="0" w:gutter="0"/>
          <w:pgNumType w:start="1"/>
          <w:cols w:space="720" w:num="1"/>
          <w:formProt w:val="0"/>
          <w:titlePg/>
          <w:docGrid w:type="linesAndChar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1503045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5.25pt;margin-top:118.35pt;height:0pt;width:481.9pt;z-index:251664384;mso-width-relative:page;mso-height-relative:page;" filled="f" stroked="t" coordsize="21600,21600" o:gfxdata="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qZistgAAAALAQAADwAAAAAAAAABACAAAAAiAAAAZHJzL2Rvd25yZXYueG1sUEsBAhQAFAAAAAgA&#10;h07iQFLRpObsAQAA6gMAAA4AAAAAAAAAAQAgAAAAJwEAAGRycy9lMm9Eb2MueG1sUEsFBgAAAAAG&#10;AAYAWQEAAIUFAAAAAA==&#10;">
                <v:fill on="f" focussize="0,0"/>
                <v:stroke color="#000000" joinstyle="round"/>
                <v:imagedata o:title=""/>
                <o:lock v:ext="edit" aspectratio="f"/>
              </v:line>
            </w:pict>
          </mc:Fallback>
        </mc:AlternateContent>
      </w:r>
    </w:p>
    <w:p>
      <w:pPr>
        <w:pStyle w:val="108"/>
      </w:pPr>
      <w:bookmarkStart w:id="3" w:name="_Toc454527084"/>
      <w:bookmarkStart w:id="4" w:name="_Toc483488393"/>
      <w:r>
        <w:rPr>
          <w:rFonts w:hint="eastAsia"/>
        </w:rPr>
        <w:t>前  言</w:t>
      </w:r>
      <w:bookmarkEnd w:id="3"/>
      <w:bookmarkEnd w:id="4"/>
    </w:p>
    <w:p>
      <w:pPr>
        <w:pStyle w:val="24"/>
        <w:rPr>
          <w:rFonts w:hint="eastAsia" w:hAnsi="宋体" w:cs="宋体"/>
          <w:highlight w:val="none"/>
        </w:rPr>
      </w:pPr>
      <w:r>
        <w:rPr>
          <w:rFonts w:hint="eastAsia" w:hAnsi="宋体" w:cs="宋体"/>
          <w:highlight w:val="none"/>
        </w:rPr>
        <w:t>本文件按照GB/T 1.1</w:t>
      </w:r>
      <w:r>
        <w:rPr>
          <w:rFonts w:hint="eastAsia" w:ascii="仿宋" w:hAnsi="仿宋" w:eastAsia="仿宋" w:cs="仿宋"/>
          <w:highlight w:val="none"/>
        </w:rPr>
        <w:t>―</w:t>
      </w:r>
      <w:r>
        <w:rPr>
          <w:rFonts w:hint="eastAsia" w:hAnsi="宋体" w:cs="宋体"/>
          <w:highlight w:val="none"/>
        </w:rPr>
        <w:t>2020《标准化工作导则  第1部分：标准化文件的结构和起草规则》的规定起草。</w:t>
      </w:r>
    </w:p>
    <w:p>
      <w:pPr>
        <w:pStyle w:val="24"/>
        <w:rPr>
          <w:rFonts w:hint="eastAsia" w:hAnsi="宋体" w:cs="宋体"/>
          <w:highlight w:val="none"/>
        </w:rPr>
      </w:pPr>
      <w:r>
        <w:rPr>
          <w:rFonts w:hint="eastAsia" w:hAnsi="宋体" w:cs="宋体"/>
          <w:highlight w:val="none"/>
        </w:rPr>
        <w:t>请注意本文件的某些内容可能涉及专利</w:t>
      </w:r>
      <w:r>
        <w:rPr>
          <w:rFonts w:hint="eastAsia" w:hAnsi="宋体" w:cs="宋体"/>
          <w:highlight w:val="none"/>
          <w:lang w:eastAsia="zh-CN"/>
        </w:rPr>
        <w:t>，</w:t>
      </w:r>
      <w:r>
        <w:rPr>
          <w:rFonts w:hint="eastAsia" w:hAnsi="宋体" w:cs="宋体"/>
          <w:highlight w:val="none"/>
        </w:rPr>
        <w:t>本文件的发布机构不承担识别专利的责任。</w:t>
      </w:r>
    </w:p>
    <w:p>
      <w:pPr>
        <w:pStyle w:val="24"/>
      </w:pPr>
      <w:r>
        <w:rPr>
          <w:rFonts w:hint="eastAsia"/>
        </w:rPr>
        <w:t>本</w:t>
      </w:r>
      <w:r>
        <w:rPr>
          <w:rFonts w:hint="eastAsia"/>
          <w:lang w:val="en-US" w:eastAsia="zh-CN"/>
        </w:rPr>
        <w:t>文件</w:t>
      </w:r>
      <w:r>
        <w:rPr>
          <w:rFonts w:hint="eastAsia"/>
        </w:rPr>
        <w:t>由深圳市</w:t>
      </w:r>
      <w:r>
        <w:rPr>
          <w:rFonts w:hint="eastAsia"/>
          <w:lang w:val="en-US" w:eastAsia="zh-CN"/>
        </w:rPr>
        <w:t>蔬菜批发协会</w:t>
      </w:r>
      <w:r>
        <w:rPr>
          <w:rFonts w:hint="eastAsia"/>
        </w:rPr>
        <w:t>提出并</w:t>
      </w:r>
      <w:r>
        <w:t>归口</w:t>
      </w:r>
      <w:r>
        <w:rPr>
          <w:rFonts w:hint="eastAsia"/>
        </w:rPr>
        <w:t>。</w:t>
      </w:r>
    </w:p>
    <w:p>
      <w:pPr>
        <w:pStyle w:val="24"/>
        <w:rPr>
          <w:rFonts w:hint="eastAsia"/>
          <w:lang w:val="en-US" w:eastAsia="zh-CN"/>
        </w:rPr>
      </w:pPr>
      <w:r>
        <w:rPr>
          <w:rFonts w:hint="eastAsia"/>
        </w:rPr>
        <w:t>本</w:t>
      </w:r>
      <w:r>
        <w:rPr>
          <w:rFonts w:hint="eastAsia"/>
          <w:lang w:val="en-US" w:eastAsia="zh-CN"/>
        </w:rPr>
        <w:t>文件主要起草单位：深圳凯吉星农产品检测认证有限公司，深圳市蔬菜批发协会。</w:t>
      </w:r>
    </w:p>
    <w:p>
      <w:pPr>
        <w:pStyle w:val="24"/>
        <w:rPr>
          <w:rFonts w:hint="eastAsia"/>
          <w:lang w:val="en-US" w:eastAsia="zh-CN"/>
        </w:rPr>
      </w:pPr>
      <w:r>
        <w:rPr>
          <w:rFonts w:hint="eastAsia"/>
          <w:lang w:val="en-US" w:eastAsia="zh-CN"/>
        </w:rPr>
        <w:t>本文件主要起草人：梁景文，姜学涯，苑婷婷，朱国柱，李丹。</w:t>
      </w:r>
    </w:p>
    <w:p>
      <w:pPr>
        <w:pStyle w:val="24"/>
        <w:rPr>
          <w:szCs w:val="22"/>
          <w:highlight w:val="none"/>
        </w:rPr>
        <w:sectPr>
          <w:headerReference r:id="rId7" w:type="default"/>
          <w:pgSz w:w="11906" w:h="16838"/>
          <w:pgMar w:top="567" w:right="1134" w:bottom="1134" w:left="1418" w:header="1418" w:footer="1134" w:gutter="0"/>
          <w:pgNumType w:fmt="upperRoman" w:start="1"/>
          <w:cols w:space="720" w:num="1"/>
          <w:formProt w:val="0"/>
          <w:docGrid w:type="lines" w:linePitch="312" w:charSpace="0"/>
        </w:sectPr>
      </w:pPr>
      <w:r>
        <w:rPr>
          <w:rFonts w:hint="eastAsia"/>
          <w:lang w:val="en-US" w:eastAsia="zh-CN"/>
        </w:rPr>
        <w:t>本文件为首次制定。</w:t>
      </w:r>
    </w:p>
    <w:p>
      <w:pPr>
        <w:spacing w:line="360" w:lineRule="auto"/>
      </w:pPr>
    </w:p>
    <w:p>
      <w:pPr>
        <w:jc w:val="center"/>
        <w:rPr>
          <w:rFonts w:hint="default" w:eastAsia="宋体"/>
          <w:b/>
          <w:bCs/>
          <w:sz w:val="30"/>
          <w:szCs w:val="30"/>
          <w:lang w:val="en-US" w:eastAsia="zh-CN"/>
        </w:rPr>
      </w:pPr>
      <w:r>
        <w:rPr>
          <w:rFonts w:hint="eastAsia"/>
          <w:b/>
          <w:bCs/>
          <w:sz w:val="30"/>
          <w:szCs w:val="30"/>
          <w:lang w:eastAsia="zh-CN"/>
        </w:rPr>
        <w:t>大红</w:t>
      </w:r>
      <w:r>
        <w:rPr>
          <w:rFonts w:hint="eastAsia"/>
          <w:b/>
          <w:bCs/>
          <w:sz w:val="30"/>
          <w:szCs w:val="30"/>
        </w:rPr>
        <w:t>番茄</w:t>
      </w:r>
      <w:r>
        <w:rPr>
          <w:rFonts w:hint="eastAsia"/>
          <w:b/>
          <w:bCs/>
          <w:sz w:val="30"/>
          <w:szCs w:val="30"/>
          <w:lang w:val="en-US" w:eastAsia="zh-CN"/>
        </w:rPr>
        <w:t>种植流通规范</w:t>
      </w:r>
    </w:p>
    <w:p>
      <w:pPr>
        <w:spacing w:line="360" w:lineRule="auto"/>
        <w:jc w:val="center"/>
        <w:rPr>
          <w:b/>
          <w:bCs/>
          <w:sz w:val="30"/>
          <w:szCs w:val="30"/>
        </w:rPr>
      </w:pPr>
    </w:p>
    <w:p>
      <w:pPr>
        <w:spacing w:line="360" w:lineRule="auto"/>
        <w:rPr>
          <w:b/>
          <w:bCs/>
          <w:sz w:val="24"/>
        </w:rPr>
      </w:pPr>
      <w:r>
        <w:rPr>
          <w:rFonts w:hint="eastAsia"/>
          <w:b/>
          <w:bCs/>
          <w:sz w:val="24"/>
        </w:rPr>
        <w:t>1  范围</w:t>
      </w:r>
    </w:p>
    <w:p>
      <w:pPr>
        <w:spacing w:line="360" w:lineRule="auto"/>
        <w:ind w:firstLine="420" w:firstLineChars="200"/>
      </w:pPr>
      <w:r>
        <w:rPr>
          <w:rFonts w:hint="eastAsia"/>
        </w:rPr>
        <w:t>本标准</w:t>
      </w:r>
      <w:r>
        <w:t>规定了</w:t>
      </w:r>
      <w:r>
        <w:rPr>
          <w:rFonts w:hint="eastAsia"/>
          <w:lang w:eastAsia="zh-CN"/>
        </w:rPr>
        <w:t>大红</w:t>
      </w:r>
      <w:r>
        <w:rPr>
          <w:rFonts w:hint="eastAsia"/>
        </w:rPr>
        <w:t>番茄的</w:t>
      </w:r>
      <w:r>
        <w:rPr>
          <w:rFonts w:hint="eastAsia"/>
          <w:lang w:eastAsia="zh-CN"/>
        </w:rPr>
        <w:t>种植流通规范，包括种植、</w:t>
      </w:r>
      <w:r>
        <w:t>质量、</w:t>
      </w:r>
      <w:r>
        <w:rPr>
          <w:rFonts w:hint="eastAsia"/>
          <w:lang w:eastAsia="zh-CN"/>
        </w:rPr>
        <w:t>等级、</w:t>
      </w:r>
      <w:r>
        <w:t>包装</w:t>
      </w:r>
      <w:r>
        <w:rPr>
          <w:rFonts w:hint="eastAsia"/>
        </w:rPr>
        <w:t>和</w:t>
      </w:r>
      <w:r>
        <w:t>标志</w:t>
      </w:r>
      <w:r>
        <w:rPr>
          <w:rFonts w:hint="eastAsia"/>
        </w:rPr>
        <w:t>、</w:t>
      </w:r>
      <w:r>
        <w:t>贮藏</w:t>
      </w:r>
      <w:r>
        <w:rPr>
          <w:rFonts w:hint="eastAsia"/>
          <w:lang w:eastAsia="zh-CN"/>
        </w:rPr>
        <w:t>与流通等</w:t>
      </w:r>
      <w:r>
        <w:t>方面的要求。</w:t>
      </w:r>
    </w:p>
    <w:p>
      <w:pPr>
        <w:spacing w:line="360" w:lineRule="auto"/>
        <w:ind w:firstLine="420" w:firstLineChars="200"/>
      </w:pPr>
      <w:r>
        <w:rPr>
          <w:rFonts w:hint="eastAsia"/>
        </w:rPr>
        <w:t>本标</w:t>
      </w:r>
      <w:r>
        <w:rPr>
          <w:rFonts w:hint="eastAsia"/>
          <w:lang w:eastAsia="zh-CN"/>
        </w:rPr>
        <w:t>准</w:t>
      </w:r>
      <w:r>
        <w:t>适用于</w:t>
      </w:r>
      <w:r>
        <w:rPr>
          <w:rFonts w:hint="eastAsia"/>
          <w:lang w:eastAsia="zh-CN"/>
        </w:rPr>
        <w:t>大红</w:t>
      </w:r>
      <w:r>
        <w:rPr>
          <w:rFonts w:hint="eastAsia"/>
        </w:rPr>
        <w:t>番茄的</w:t>
      </w:r>
      <w:r>
        <w:rPr>
          <w:rFonts w:hint="eastAsia"/>
          <w:lang w:eastAsia="zh-CN"/>
        </w:rPr>
        <w:t>种植、</w:t>
      </w:r>
      <w:r>
        <w:t>收购、贮藏、运输、</w:t>
      </w:r>
      <w:r>
        <w:rPr>
          <w:rFonts w:hint="eastAsia"/>
          <w:lang w:eastAsia="zh-CN"/>
        </w:rPr>
        <w:t>批发</w:t>
      </w:r>
      <w:r>
        <w:t>。</w:t>
      </w:r>
    </w:p>
    <w:p>
      <w:pPr>
        <w:spacing w:line="360" w:lineRule="auto"/>
        <w:rPr>
          <w:sz w:val="24"/>
        </w:rPr>
      </w:pPr>
    </w:p>
    <w:p>
      <w:pPr>
        <w:spacing w:line="360" w:lineRule="auto"/>
        <w:rPr>
          <w:b/>
          <w:bCs/>
          <w:sz w:val="24"/>
        </w:rPr>
      </w:pPr>
      <w:r>
        <w:rPr>
          <w:rFonts w:hint="eastAsia"/>
          <w:b/>
          <w:bCs/>
          <w:sz w:val="24"/>
        </w:rPr>
        <w:t>2  规范性引用文件</w:t>
      </w:r>
    </w:p>
    <w:p>
      <w:pPr>
        <w:spacing w:line="360" w:lineRule="auto"/>
        <w:ind w:firstLine="420" w:firstLineChars="200"/>
        <w:rPr>
          <w:rFonts w:hint="eastAsia" w:ascii="宋体" w:hAnsi="宋体" w:eastAsia="宋体" w:cs="宋体"/>
          <w:szCs w:val="21"/>
        </w:rPr>
      </w:pPr>
      <w:r>
        <w:rPr>
          <w:rFonts w:hint="eastAsia" w:ascii="宋体" w:hAnsi="宋体" w:eastAsia="宋体" w:cs="宋体"/>
        </w:rPr>
        <w:t>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NY 5010  无公害农产品 种植业产地环境条件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GB 2762  食品中污染物限量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GB 2763 </w:t>
      </w:r>
      <w:r>
        <w:rPr>
          <w:rFonts w:hint="eastAsia" w:ascii="宋体" w:hAnsi="宋体" w:eastAsia="宋体" w:cs="宋体"/>
          <w:szCs w:val="21"/>
          <w:lang w:val="en-US" w:eastAsia="zh-CN"/>
        </w:rPr>
        <w:t xml:space="preserve"> </w:t>
      </w:r>
      <w:r>
        <w:rPr>
          <w:rFonts w:hint="eastAsia" w:ascii="宋体" w:hAnsi="宋体" w:eastAsia="宋体" w:cs="宋体"/>
          <w:szCs w:val="21"/>
        </w:rPr>
        <w:t>食品中农药最大残留限量</w:t>
      </w:r>
    </w:p>
    <w:p>
      <w:pPr>
        <w:spacing w:line="360" w:lineRule="auto"/>
        <w:ind w:firstLine="420" w:firstLineChars="200"/>
        <w:rPr>
          <w:rFonts w:hint="eastAsia" w:ascii="宋体" w:hAnsi="宋体" w:eastAsia="宋体" w:cs="宋体"/>
          <w:szCs w:val="21"/>
        </w:rPr>
      </w:pPr>
      <w:r>
        <w:rPr>
          <w:rFonts w:hint="eastAsia" w:ascii="宋体" w:hAnsi="宋体" w:eastAsia="宋体" w:cs="宋体"/>
          <w:lang w:val="en-US" w:eastAsia="zh-CN"/>
        </w:rPr>
        <w:t>GB/T 20014.3  食品安全国家标准 良好农业规范 作物基础控制点与符合性规范</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 5737  食品塑料周转箱</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GB/T 6543 运输包装用单瓦楞纸箱和双瓦楞纸箱</w:t>
      </w:r>
    </w:p>
    <w:p>
      <w:pPr>
        <w:spacing w:line="360" w:lineRule="auto"/>
        <w:ind w:firstLine="420" w:firstLineChars="200"/>
        <w:rPr>
          <w:rFonts w:hint="eastAsia" w:ascii="宋体" w:hAnsi="宋体" w:eastAsia="宋体" w:cs="宋体"/>
          <w:b w:val="0"/>
          <w:bCs w:val="0"/>
          <w:color w:val="auto"/>
          <w:szCs w:val="21"/>
          <w:lang w:val="en-US" w:eastAsia="zh-CN"/>
        </w:rPr>
      </w:pPr>
      <w:r>
        <w:rPr>
          <w:rFonts w:hint="eastAsia" w:ascii="宋体" w:hAnsi="宋体" w:eastAsia="宋体" w:cs="宋体"/>
          <w:b w:val="0"/>
          <w:bCs w:val="0"/>
          <w:color w:val="auto"/>
          <w:szCs w:val="21"/>
          <w:lang w:val="en-US" w:eastAsia="zh-CN"/>
        </w:rPr>
        <w:t>GB/T 28853-2012 恒温槽与恒温循环装置 高温恒温循环装置</w:t>
      </w:r>
    </w:p>
    <w:p>
      <w:pPr>
        <w:spacing w:line="360" w:lineRule="auto"/>
        <w:ind w:firstLine="420" w:firstLineChars="200"/>
        <w:rPr>
          <w:sz w:val="24"/>
        </w:rPr>
      </w:pPr>
      <w:r>
        <w:rPr>
          <w:szCs w:val="21"/>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rPr>
      </w:pPr>
      <w:r>
        <w:rPr>
          <w:rFonts w:hint="eastAsia"/>
          <w:b/>
          <w:bCs/>
          <w:sz w:val="24"/>
        </w:rPr>
        <w:t>3  术语和定义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1"/>
          <w:szCs w:val="21"/>
        </w:rPr>
      </w:pPr>
      <w:r>
        <w:rPr>
          <w:rFonts w:hint="eastAsia"/>
          <w:b/>
          <w:bCs/>
          <w:sz w:val="21"/>
          <w:szCs w:val="21"/>
        </w:rPr>
        <w:t xml:space="preserve"> </w:t>
      </w:r>
      <w:r>
        <w:rPr>
          <w:b/>
          <w:bCs/>
          <w:sz w:val="21"/>
          <w:szCs w:val="21"/>
        </w:rPr>
        <w:t xml:space="preserve">   </w:t>
      </w:r>
      <w:r>
        <w:rPr>
          <w:sz w:val="21"/>
          <w:szCs w:val="21"/>
        </w:rPr>
        <w:t>下列术语和定义适用于本</w:t>
      </w:r>
      <w:r>
        <w:rPr>
          <w:rFonts w:hint="eastAsia"/>
          <w:sz w:val="21"/>
          <w:szCs w:val="21"/>
          <w:lang w:eastAsia="zh-CN"/>
        </w:rPr>
        <w:t>标准</w:t>
      </w:r>
      <w:r>
        <w:rPr>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3.1  </w:t>
      </w:r>
      <w:r>
        <w:rPr>
          <w:rFonts w:hint="eastAsia" w:ascii="宋体" w:hAnsi="宋体" w:eastAsia="宋体" w:cs="宋体"/>
          <w:b/>
          <w:bCs/>
          <w:sz w:val="21"/>
          <w:szCs w:val="21"/>
          <w:lang w:eastAsia="zh-CN"/>
        </w:rPr>
        <w:t>大红番茄</w:t>
      </w:r>
      <w:r>
        <w:rPr>
          <w:rFonts w:hint="eastAsia" w:ascii="宋体" w:hAnsi="宋体" w:eastAsia="宋体" w:cs="宋体"/>
          <w:b/>
          <w:bCs/>
          <w:sz w:val="21"/>
          <w:szCs w:val="21"/>
        </w:rPr>
        <w:t xml:space="preserve">  </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color w:val="auto"/>
          <w:lang w:val="en-US" w:eastAsia="zh-CN"/>
        </w:rPr>
      </w:pPr>
      <w:r>
        <w:rPr>
          <w:rFonts w:hint="eastAsia"/>
          <w:color w:val="auto"/>
          <w:lang w:eastAsia="zh-CN"/>
        </w:rPr>
        <w:t>大红番茄，</w:t>
      </w:r>
      <w:r>
        <w:rPr>
          <w:rFonts w:hint="eastAsia"/>
          <w:color w:val="auto"/>
        </w:rPr>
        <w:t>茄科</w:t>
      </w:r>
      <w:r>
        <w:rPr>
          <w:color w:val="auto"/>
        </w:rPr>
        <w:t>，</w:t>
      </w:r>
      <w:r>
        <w:rPr>
          <w:rFonts w:hint="eastAsia"/>
          <w:color w:val="auto"/>
        </w:rPr>
        <w:t>番茄属</w:t>
      </w:r>
      <w:r>
        <w:rPr>
          <w:color w:val="auto"/>
        </w:rPr>
        <w:t>，普通番茄种中栽培番茄变种所结的果实</w:t>
      </w:r>
      <w:r>
        <w:rPr>
          <w:rFonts w:hint="eastAsia"/>
          <w:color w:val="auto"/>
          <w:lang w:eastAsia="zh-CN"/>
        </w:rPr>
        <w:t>，宜</w:t>
      </w:r>
      <w:r>
        <w:rPr>
          <w:color w:val="auto"/>
        </w:rPr>
        <w:t>烹制成熟后食用，尤其是烧汤或炖煮</w:t>
      </w:r>
      <w:r>
        <w:rPr>
          <w:rFonts w:hint="default"/>
          <w:color w:val="auto"/>
        </w:rPr>
        <w:t>。</w:t>
      </w:r>
    </w:p>
    <w:p>
      <w:pPr>
        <w:spacing w:line="360" w:lineRule="auto"/>
        <w:rPr>
          <w:rFonts w:hint="eastAsia"/>
          <w:b/>
          <w:bCs/>
          <w:sz w:val="21"/>
          <w:szCs w:val="21"/>
          <w:lang w:val="en-US" w:eastAsia="zh-CN"/>
        </w:rPr>
      </w:pPr>
      <w:r>
        <w:rPr>
          <w:rFonts w:hint="eastAsia"/>
          <w:b/>
          <w:bCs/>
          <w:sz w:val="21"/>
          <w:szCs w:val="21"/>
          <w:lang w:val="en-US" w:eastAsia="zh-CN"/>
        </w:rPr>
        <w:t xml:space="preserve">3.2  成熟度 </w:t>
      </w:r>
    </w:p>
    <w:p>
      <w:pPr>
        <w:spacing w:beforeLines="100" w:afterLines="100" w:line="360" w:lineRule="auto"/>
        <w:ind w:firstLine="525" w:firstLineChars="250"/>
        <w:rPr>
          <w:rFonts w:hint="eastAsia"/>
          <w:lang w:val="en-US" w:eastAsia="zh-CN"/>
        </w:rPr>
      </w:pPr>
      <w:r>
        <w:rPr>
          <w:rFonts w:hint="eastAsia"/>
          <w:lang w:val="en-US" w:eastAsia="zh-CN"/>
        </w:rPr>
        <w:t>番茄达商品成熟，适于食用。果实红棉占总面积的七成以上，种子已长大，周围呈胶状，果腔充实，果实饱满。</w:t>
      </w:r>
    </w:p>
    <w:p>
      <w:pPr>
        <w:spacing w:line="360" w:lineRule="auto"/>
        <w:rPr>
          <w:rFonts w:hint="eastAsia"/>
          <w:b/>
          <w:bCs/>
          <w:sz w:val="21"/>
          <w:szCs w:val="21"/>
          <w:lang w:val="en-US" w:eastAsia="zh-CN"/>
        </w:rPr>
      </w:pPr>
      <w:r>
        <w:rPr>
          <w:rFonts w:hint="eastAsia"/>
          <w:b/>
          <w:bCs/>
          <w:sz w:val="21"/>
          <w:szCs w:val="21"/>
          <w:lang w:val="en-US" w:eastAsia="zh-CN"/>
        </w:rPr>
        <w:t xml:space="preserve">3.3  过熟  </w:t>
      </w:r>
    </w:p>
    <w:p>
      <w:pPr>
        <w:spacing w:beforeLines="100" w:afterLines="100"/>
        <w:ind w:firstLine="525" w:firstLineChars="250"/>
        <w:rPr>
          <w:rFonts w:hint="eastAsia"/>
          <w:lang w:val="en-US" w:eastAsia="zh-CN"/>
        </w:rPr>
      </w:pPr>
      <w:r>
        <w:rPr>
          <w:rFonts w:hint="eastAsia"/>
          <w:lang w:val="en-US" w:eastAsia="zh-CN"/>
        </w:rPr>
        <w:t>果实过熟（黄熟）过度，果肉组织开始软化。</w:t>
      </w:r>
    </w:p>
    <w:p>
      <w:pPr>
        <w:spacing w:line="360" w:lineRule="auto"/>
        <w:rPr>
          <w:rFonts w:hint="eastAsia"/>
          <w:b/>
          <w:bCs/>
          <w:sz w:val="21"/>
          <w:szCs w:val="21"/>
          <w:lang w:val="en-US" w:eastAsia="zh-CN"/>
        </w:rPr>
      </w:pPr>
      <w:r>
        <w:rPr>
          <w:rFonts w:hint="eastAsia"/>
          <w:b/>
          <w:bCs/>
          <w:sz w:val="21"/>
          <w:szCs w:val="21"/>
          <w:lang w:val="en-US" w:eastAsia="zh-CN"/>
        </w:rPr>
        <w:t xml:space="preserve">3.4  日伤  </w:t>
      </w:r>
    </w:p>
    <w:p>
      <w:pPr>
        <w:spacing w:beforeLines="100" w:afterLines="100"/>
        <w:ind w:firstLine="525" w:firstLineChars="250"/>
        <w:rPr>
          <w:rFonts w:hint="eastAsia"/>
          <w:lang w:val="en-US" w:eastAsia="zh-CN"/>
        </w:rPr>
      </w:pPr>
      <w:r>
        <w:rPr>
          <w:rFonts w:hint="eastAsia"/>
          <w:lang w:val="en-US" w:eastAsia="zh-CN"/>
        </w:rPr>
        <w:t>果实表面因受强烈日光照射行程白色水泽状斑块。</w:t>
      </w:r>
    </w:p>
    <w:p>
      <w:pPr>
        <w:spacing w:line="360" w:lineRule="auto"/>
        <w:rPr>
          <w:rFonts w:hint="eastAsia"/>
          <w:b/>
          <w:bCs/>
          <w:sz w:val="21"/>
          <w:szCs w:val="21"/>
          <w:lang w:val="en-US" w:eastAsia="zh-CN"/>
        </w:rPr>
      </w:pPr>
      <w:r>
        <w:rPr>
          <w:rFonts w:hint="eastAsia"/>
          <w:b/>
          <w:bCs/>
          <w:sz w:val="21"/>
          <w:szCs w:val="21"/>
          <w:lang w:val="en-US" w:eastAsia="zh-CN"/>
        </w:rPr>
        <w:t xml:space="preserve">3.5  畸形果  </w:t>
      </w:r>
    </w:p>
    <w:p>
      <w:pPr>
        <w:spacing w:beforeLines="100" w:afterLines="100"/>
        <w:ind w:firstLine="525" w:firstLineChars="250"/>
        <w:rPr>
          <w:rFonts w:hint="eastAsia"/>
          <w:lang w:val="en-US" w:eastAsia="zh-CN"/>
        </w:rPr>
      </w:pPr>
      <w:r>
        <w:rPr>
          <w:rFonts w:hint="eastAsia"/>
          <w:lang w:val="en-US" w:eastAsia="zh-CN"/>
        </w:rPr>
        <w:t>有明显的不正常凹陷或凸起及外形缺陷的果实。</w:t>
      </w:r>
    </w:p>
    <w:p>
      <w:pPr>
        <w:spacing w:line="360" w:lineRule="auto"/>
        <w:rPr>
          <w:rFonts w:hint="eastAsia"/>
          <w:b/>
          <w:bCs/>
          <w:sz w:val="21"/>
          <w:szCs w:val="21"/>
          <w:lang w:val="en-US" w:eastAsia="zh-CN"/>
        </w:rPr>
      </w:pPr>
      <w:r>
        <w:rPr>
          <w:rFonts w:hint="eastAsia"/>
          <w:b/>
          <w:bCs/>
          <w:sz w:val="21"/>
          <w:szCs w:val="21"/>
          <w:lang w:val="en-US" w:eastAsia="zh-CN"/>
        </w:rPr>
        <w:t xml:space="preserve">3.6  裂果  </w:t>
      </w:r>
    </w:p>
    <w:p>
      <w:pPr>
        <w:spacing w:beforeLines="100" w:afterLines="100"/>
        <w:ind w:firstLine="525" w:firstLineChars="250"/>
        <w:rPr>
          <w:rFonts w:hint="default"/>
          <w:lang w:val="en-US" w:eastAsia="zh-CN"/>
        </w:rPr>
      </w:pPr>
      <w:r>
        <w:rPr>
          <w:rFonts w:hint="eastAsia"/>
          <w:lang w:val="en-US" w:eastAsia="zh-CN"/>
        </w:rPr>
        <w:t>表面出现众裂或环裂的果实。</w:t>
      </w:r>
    </w:p>
    <w:p>
      <w:pPr>
        <w:spacing w:line="360" w:lineRule="auto"/>
        <w:rPr>
          <w:rFonts w:hint="eastAsia"/>
          <w:b/>
          <w:bCs/>
          <w:sz w:val="21"/>
          <w:szCs w:val="21"/>
          <w:lang w:val="en-US" w:eastAsia="zh-CN"/>
        </w:rPr>
      </w:pPr>
      <w:r>
        <w:rPr>
          <w:rFonts w:hint="eastAsia"/>
          <w:b/>
          <w:bCs/>
          <w:sz w:val="21"/>
          <w:szCs w:val="21"/>
          <w:lang w:val="en-US" w:eastAsia="zh-CN"/>
        </w:rPr>
        <w:t xml:space="preserve">3.7  预冷 </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果蔬采收后为及时去除田间热，抑制呼吸作用，保持果蔬的鲜度，将其冷却到适宜温度的过程。</w:t>
      </w:r>
    </w:p>
    <w:p>
      <w:pPr>
        <w:spacing w:line="360" w:lineRule="auto"/>
        <w:rPr>
          <w:rFonts w:hint="eastAsia"/>
          <w:b/>
          <w:bCs/>
          <w:sz w:val="21"/>
          <w:szCs w:val="21"/>
          <w:lang w:val="en-US" w:eastAsia="zh-CN"/>
        </w:rPr>
      </w:pPr>
      <w:r>
        <w:rPr>
          <w:rFonts w:hint="eastAsia"/>
          <w:b/>
          <w:bCs/>
          <w:sz w:val="21"/>
          <w:szCs w:val="21"/>
          <w:lang w:val="en-US" w:eastAsia="zh-CN"/>
        </w:rPr>
        <w:t xml:space="preserve">3.8  冻害  </w:t>
      </w:r>
    </w:p>
    <w:p>
      <w:pPr>
        <w:spacing w:beforeLines="100" w:afterLines="100"/>
        <w:ind w:firstLine="525" w:firstLineChars="250"/>
        <w:rPr>
          <w:rFonts w:hint="eastAsia"/>
          <w:lang w:val="en-US" w:eastAsia="zh-CN"/>
        </w:rPr>
      </w:pPr>
      <w:r>
        <w:rPr>
          <w:rFonts w:hint="eastAsia"/>
          <w:lang w:val="en-US" w:eastAsia="zh-CN"/>
        </w:rPr>
        <w:t>生鲜果蔬因贮藏温度低于其冰点导致其组织发生冰冻而受伤或死亡的现象。</w:t>
      </w:r>
    </w:p>
    <w:p>
      <w:pPr>
        <w:spacing w:line="360" w:lineRule="auto"/>
        <w:rPr>
          <w:rFonts w:hint="eastAsia"/>
          <w:b/>
          <w:bCs/>
          <w:sz w:val="21"/>
          <w:szCs w:val="21"/>
          <w:lang w:val="en-US" w:eastAsia="zh-CN"/>
        </w:rPr>
      </w:pPr>
      <w:r>
        <w:rPr>
          <w:rFonts w:hint="eastAsia"/>
          <w:b/>
          <w:bCs/>
          <w:sz w:val="21"/>
          <w:szCs w:val="21"/>
          <w:lang w:val="en-US" w:eastAsia="zh-CN"/>
        </w:rPr>
        <w:t>3.9 控温运输工具</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设有隔热箱体并可在一定的时间内维持规定的内部环境温度的运输工具。包括保温车（箱）、冷藏汽车、铁路冷藏车、冷藏集装箱和冷藏船等。</w:t>
      </w:r>
    </w:p>
    <w:p>
      <w:pPr>
        <w:spacing w:beforeLines="100" w:afterLines="100"/>
        <w:rPr>
          <w:rFonts w:hint="eastAsia"/>
          <w:lang w:val="en-US" w:eastAsia="zh-CN"/>
        </w:rPr>
      </w:pPr>
    </w:p>
    <w:p>
      <w:pPr>
        <w:numPr>
          <w:ilvl w:val="0"/>
          <w:numId w:val="19"/>
        </w:numPr>
        <w:spacing w:line="360" w:lineRule="auto"/>
        <w:rPr>
          <w:rFonts w:hint="default"/>
          <w:b/>
          <w:bCs/>
          <w:sz w:val="24"/>
          <w:szCs w:val="24"/>
          <w:lang w:val="en-US" w:eastAsia="zh-CN"/>
        </w:rPr>
      </w:pPr>
      <w:r>
        <w:rPr>
          <w:rFonts w:hint="eastAsia"/>
          <w:b/>
          <w:bCs/>
          <w:sz w:val="24"/>
          <w:szCs w:val="24"/>
          <w:lang w:val="en-US" w:eastAsia="zh-CN"/>
        </w:rPr>
        <w:t>种植要求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b/>
          <w:bCs/>
          <w:sz w:val="21"/>
          <w:szCs w:val="21"/>
          <w:lang w:val="en-US" w:eastAsia="zh-CN"/>
        </w:rPr>
        <w:t>4.1 产地环境</w:t>
      </w:r>
    </w:p>
    <w:p>
      <w:pPr>
        <w:keepNext w:val="0"/>
        <w:keepLines w:val="0"/>
        <w:pageBreakBefore w:val="0"/>
        <w:widowControl w:val="0"/>
        <w:kinsoku/>
        <w:wordWrap/>
        <w:overflowPunct/>
        <w:topLinePunct w:val="0"/>
        <w:autoSpaceDE/>
        <w:autoSpaceDN/>
        <w:bidi w:val="0"/>
        <w:adjustRightInd/>
        <w:snapToGrid/>
        <w:spacing w:beforeLines="100" w:afterLines="100" w:line="360" w:lineRule="auto"/>
        <w:ind w:firstLine="525" w:firstLineChars="250"/>
        <w:textAlignment w:val="auto"/>
        <w:rPr>
          <w:rFonts w:hint="eastAsia"/>
          <w:lang w:val="en-US" w:eastAsia="zh-CN"/>
        </w:rPr>
      </w:pPr>
      <w:r>
        <w:rPr>
          <w:rFonts w:hint="eastAsia"/>
          <w:lang w:val="en-US" w:eastAsia="zh-CN"/>
        </w:rPr>
        <w:t>要选择地势高燥、排灌方便，地下水位较低、土层深厚疏松的壤土的地块，并符合NY5010的规定。</w:t>
      </w:r>
    </w:p>
    <w:p>
      <w:pPr>
        <w:spacing w:line="360" w:lineRule="auto"/>
        <w:rPr>
          <w:rFonts w:hint="eastAsia"/>
          <w:b/>
          <w:bCs/>
          <w:sz w:val="21"/>
          <w:szCs w:val="21"/>
          <w:lang w:val="en-US" w:eastAsia="zh-CN"/>
        </w:rPr>
      </w:pPr>
      <w:r>
        <w:rPr>
          <w:rFonts w:hint="eastAsia"/>
          <w:b/>
          <w:bCs/>
          <w:sz w:val="21"/>
          <w:szCs w:val="21"/>
          <w:lang w:val="en-US" w:eastAsia="zh-CN"/>
        </w:rPr>
        <w:t>4.2  可追溯性</w:t>
      </w:r>
    </w:p>
    <w:p>
      <w:pPr>
        <w:spacing w:beforeLines="100" w:afterLines="100"/>
        <w:ind w:firstLine="525" w:firstLineChars="250"/>
        <w:rPr>
          <w:rFonts w:hint="eastAsia"/>
          <w:lang w:val="en-US" w:eastAsia="zh-CN"/>
        </w:rPr>
      </w:pPr>
      <w:r>
        <w:rPr>
          <w:rFonts w:hint="eastAsia"/>
          <w:lang w:val="en-US" w:eastAsia="zh-CN"/>
        </w:rPr>
        <w:t>为确保食品安全可追溯，需要建立有文件化的追溯体系确保注册农场生产的产品可追溯回农场或农业生产经营者组织，并由农场追溯到直接客户。每一批产品的收货信息应和生产记录或具体生产者的农场相联系。</w:t>
      </w:r>
    </w:p>
    <w:p>
      <w:pPr>
        <w:spacing w:line="360" w:lineRule="auto"/>
        <w:rPr>
          <w:rFonts w:hint="eastAsia"/>
          <w:b/>
          <w:bCs/>
          <w:sz w:val="21"/>
          <w:szCs w:val="21"/>
          <w:lang w:val="en-US" w:eastAsia="zh-CN"/>
        </w:rPr>
      </w:pPr>
      <w:r>
        <w:rPr>
          <w:rFonts w:hint="eastAsia"/>
          <w:b/>
          <w:bCs/>
          <w:sz w:val="21"/>
          <w:szCs w:val="21"/>
          <w:lang w:val="en-US" w:eastAsia="zh-CN"/>
        </w:rPr>
        <w:t>4.3 繁殖材料</w:t>
      </w:r>
    </w:p>
    <w:p>
      <w:pPr>
        <w:spacing w:beforeLines="100" w:afterLines="100"/>
        <w:ind w:firstLine="525" w:firstLineChars="250"/>
        <w:rPr>
          <w:rFonts w:hint="eastAsia"/>
          <w:lang w:val="en-US" w:eastAsia="zh-CN"/>
        </w:rPr>
      </w:pPr>
      <w:r>
        <w:rPr>
          <w:rFonts w:hint="eastAsia"/>
          <w:lang w:val="en-US" w:eastAsia="zh-CN"/>
        </w:rPr>
        <w:t>4.3.1 应保证种子质量，无有害物质，有质量保证书或生产合格保证书</w:t>
      </w:r>
    </w:p>
    <w:p>
      <w:pPr>
        <w:spacing w:beforeLines="100" w:afterLines="100"/>
        <w:ind w:firstLine="525" w:firstLineChars="250"/>
        <w:rPr>
          <w:rFonts w:hint="eastAsia"/>
          <w:lang w:val="en-US" w:eastAsia="zh-CN"/>
        </w:rPr>
      </w:pPr>
      <w:r>
        <w:rPr>
          <w:rFonts w:hint="eastAsia"/>
          <w:lang w:val="en-US" w:eastAsia="zh-CN"/>
        </w:rPr>
        <w:t>4.3.2 可证明品种种子对病、虫害具有抗性或耐性。</w:t>
      </w:r>
    </w:p>
    <w:p>
      <w:pPr>
        <w:spacing w:beforeLines="100" w:afterLines="100"/>
        <w:ind w:firstLine="525" w:firstLineChars="250"/>
        <w:rPr>
          <w:rFonts w:hint="eastAsia"/>
          <w:lang w:val="en-US" w:eastAsia="zh-CN"/>
        </w:rPr>
      </w:pPr>
      <w:r>
        <w:rPr>
          <w:rFonts w:hint="eastAsia"/>
          <w:lang w:val="en-US" w:eastAsia="zh-CN"/>
        </w:rPr>
        <w:t>4.3.3 应保留播种（或定植）率、播种（或定植）日期的记录并可随时提供。</w:t>
      </w:r>
    </w:p>
    <w:p>
      <w:pPr>
        <w:spacing w:line="360" w:lineRule="auto"/>
        <w:rPr>
          <w:rFonts w:hint="eastAsia"/>
          <w:b/>
          <w:bCs/>
          <w:sz w:val="21"/>
          <w:szCs w:val="21"/>
          <w:lang w:val="en-US" w:eastAsia="zh-CN"/>
        </w:rPr>
      </w:pPr>
      <w:r>
        <w:rPr>
          <w:rFonts w:hint="eastAsia"/>
          <w:b/>
          <w:bCs/>
          <w:sz w:val="21"/>
          <w:szCs w:val="21"/>
          <w:lang w:val="en-US" w:eastAsia="zh-CN"/>
        </w:rPr>
        <w:t>4.4 土壤管理</w:t>
      </w:r>
    </w:p>
    <w:p>
      <w:pPr>
        <w:spacing w:beforeLines="100" w:afterLines="100"/>
        <w:ind w:firstLine="525" w:firstLineChars="250"/>
        <w:rPr>
          <w:rFonts w:hint="eastAsia"/>
          <w:lang w:val="en-US" w:eastAsia="zh-CN"/>
        </w:rPr>
      </w:pPr>
      <w:r>
        <w:rPr>
          <w:rFonts w:hint="eastAsia"/>
          <w:lang w:val="en-US" w:eastAsia="zh-CN"/>
        </w:rPr>
        <w:t>4.4.1  为避免土壤板结，宜采用适当方法保持或改良土壤结构。</w:t>
      </w:r>
    </w:p>
    <w:p>
      <w:pPr>
        <w:spacing w:beforeLines="100" w:afterLines="100"/>
        <w:ind w:firstLine="525" w:firstLineChars="250"/>
        <w:rPr>
          <w:rFonts w:hint="eastAsia"/>
          <w:lang w:val="en-US" w:eastAsia="zh-CN"/>
        </w:rPr>
      </w:pPr>
      <w:r>
        <w:rPr>
          <w:rFonts w:hint="eastAsia"/>
          <w:lang w:val="en-US" w:eastAsia="zh-CN"/>
        </w:rPr>
        <w:t>4.4.2  采用的耕作技术应能够降低水土流失发生的可能性，如在斜坡上使用十字线技术、在边界造排水系统、种草、种树等。</w:t>
      </w:r>
    </w:p>
    <w:p>
      <w:pPr>
        <w:spacing w:line="360" w:lineRule="auto"/>
        <w:rPr>
          <w:rFonts w:hint="eastAsia"/>
          <w:b/>
          <w:bCs/>
          <w:sz w:val="21"/>
          <w:szCs w:val="21"/>
          <w:lang w:val="en-US" w:eastAsia="zh-CN"/>
        </w:rPr>
      </w:pPr>
      <w:r>
        <w:rPr>
          <w:rFonts w:hint="eastAsia"/>
          <w:b/>
          <w:bCs/>
          <w:sz w:val="21"/>
          <w:szCs w:val="21"/>
          <w:lang w:val="en-US" w:eastAsia="zh-CN"/>
        </w:rPr>
        <w:t>4.5 肥料使用</w:t>
      </w:r>
    </w:p>
    <w:p>
      <w:pPr>
        <w:spacing w:beforeLines="100" w:afterLines="100"/>
        <w:ind w:firstLine="525" w:firstLineChars="250"/>
        <w:rPr>
          <w:rFonts w:hint="eastAsia"/>
          <w:lang w:val="en-US" w:eastAsia="zh-CN"/>
        </w:rPr>
      </w:pPr>
      <w:r>
        <w:rPr>
          <w:rFonts w:hint="eastAsia"/>
          <w:lang w:val="en-US" w:eastAsia="zh-CN"/>
        </w:rPr>
        <w:t>在种植过程中，肥料的使用应符合GB/T20014.3中4.5的有关规定执行。</w:t>
      </w:r>
    </w:p>
    <w:p>
      <w:pPr>
        <w:spacing w:line="360" w:lineRule="auto"/>
        <w:rPr>
          <w:rFonts w:hint="eastAsia"/>
          <w:b/>
          <w:bCs/>
          <w:sz w:val="21"/>
          <w:szCs w:val="21"/>
          <w:lang w:val="en-US" w:eastAsia="zh-CN"/>
        </w:rPr>
      </w:pPr>
      <w:r>
        <w:rPr>
          <w:rFonts w:hint="eastAsia"/>
          <w:b/>
          <w:bCs/>
          <w:sz w:val="21"/>
          <w:szCs w:val="21"/>
          <w:lang w:val="en-US" w:eastAsia="zh-CN"/>
        </w:rPr>
        <w:t>4.6 灌溉和施肥</w:t>
      </w:r>
    </w:p>
    <w:p>
      <w:pPr>
        <w:spacing w:beforeLines="100" w:afterLines="100"/>
        <w:ind w:firstLine="525" w:firstLineChars="250"/>
        <w:rPr>
          <w:rFonts w:hint="eastAsia"/>
          <w:lang w:val="en-US" w:eastAsia="zh-CN"/>
        </w:rPr>
      </w:pPr>
      <w:r>
        <w:rPr>
          <w:rFonts w:hint="eastAsia"/>
          <w:lang w:val="en-US" w:eastAsia="zh-CN"/>
        </w:rPr>
        <w:t>在种植过程中，灌溉和施肥应符合GB/T20014.3中4.6的有关规定执行。</w:t>
      </w:r>
    </w:p>
    <w:p>
      <w:pPr>
        <w:spacing w:line="360" w:lineRule="auto"/>
        <w:rPr>
          <w:rFonts w:hint="default"/>
          <w:b/>
          <w:bCs/>
          <w:sz w:val="21"/>
          <w:szCs w:val="21"/>
          <w:lang w:val="en-US" w:eastAsia="zh-CN"/>
        </w:rPr>
      </w:pPr>
      <w:r>
        <w:rPr>
          <w:rFonts w:hint="eastAsia"/>
          <w:b/>
          <w:bCs/>
          <w:sz w:val="21"/>
          <w:szCs w:val="21"/>
          <w:lang w:val="en-US" w:eastAsia="zh-CN"/>
        </w:rPr>
        <w:t>4.7 有害生物综合管理</w:t>
      </w:r>
    </w:p>
    <w:p>
      <w:pPr>
        <w:spacing w:beforeLines="100" w:afterLines="100"/>
        <w:ind w:firstLine="525" w:firstLineChars="250"/>
        <w:rPr>
          <w:rFonts w:hint="default"/>
          <w:lang w:val="en-US" w:eastAsia="zh-CN"/>
        </w:rPr>
      </w:pPr>
      <w:r>
        <w:rPr>
          <w:rFonts w:hint="eastAsia"/>
          <w:lang w:val="en-US" w:eastAsia="zh-CN"/>
        </w:rPr>
        <w:t>在种植过程中，有害生物综合管理应符合GB/T20014.3中4.7的有关规定执行。</w:t>
      </w:r>
    </w:p>
    <w:p>
      <w:pPr>
        <w:pStyle w:val="154"/>
        <w:ind w:left="370" w:firstLine="0" w:firstLineChars="0"/>
        <w:rPr>
          <w:b/>
          <w:bCs/>
          <w:sz w:val="24"/>
        </w:rPr>
      </w:pPr>
    </w:p>
    <w:p>
      <w:pPr>
        <w:numPr>
          <w:ilvl w:val="0"/>
          <w:numId w:val="19"/>
        </w:numPr>
        <w:spacing w:line="360" w:lineRule="auto"/>
        <w:rPr>
          <w:b/>
          <w:bCs/>
          <w:sz w:val="24"/>
        </w:rPr>
      </w:pPr>
      <w:r>
        <w:rPr>
          <w:rFonts w:hint="eastAsia"/>
          <w:b/>
          <w:bCs/>
          <w:sz w:val="24"/>
        </w:rPr>
        <w:t xml:space="preserve"> </w:t>
      </w:r>
      <w:r>
        <w:rPr>
          <w:rFonts w:hint="eastAsia"/>
          <w:b/>
          <w:bCs/>
          <w:sz w:val="24"/>
          <w:lang w:val="en-US" w:eastAsia="zh-CN"/>
        </w:rPr>
        <w:t>基本</w:t>
      </w:r>
      <w:r>
        <w:rPr>
          <w:rFonts w:hint="eastAsia"/>
          <w:b/>
          <w:bCs/>
          <w:sz w:val="24"/>
        </w:rPr>
        <w:t>质量要求</w:t>
      </w:r>
    </w:p>
    <w:p>
      <w:pPr>
        <w:spacing w:line="360" w:lineRule="auto"/>
        <w:rPr>
          <w:rFonts w:hint="eastAsia"/>
          <w:lang w:val="en-US" w:eastAsia="zh-CN"/>
        </w:rPr>
      </w:pPr>
      <w:r>
        <w:rPr>
          <w:rFonts w:hint="eastAsia"/>
          <w:b/>
          <w:bCs/>
          <w:lang w:val="en-US" w:eastAsia="zh-CN"/>
        </w:rPr>
        <w:t xml:space="preserve">5.1 </w:t>
      </w:r>
      <w:r>
        <w:rPr>
          <w:rFonts w:hint="eastAsia"/>
          <w:lang w:val="en-US" w:eastAsia="zh-CN"/>
        </w:rPr>
        <w:t>具有品种固有的色泽和形状。</w:t>
      </w:r>
    </w:p>
    <w:p>
      <w:pPr>
        <w:spacing w:line="360" w:lineRule="auto"/>
        <w:rPr>
          <w:rFonts w:hint="default"/>
          <w:lang w:val="en-US" w:eastAsia="zh-CN"/>
        </w:rPr>
      </w:pPr>
      <w:r>
        <w:rPr>
          <w:rFonts w:hint="eastAsia"/>
          <w:b/>
          <w:bCs/>
          <w:lang w:val="en-US" w:eastAsia="zh-CN"/>
        </w:rPr>
        <w:t xml:space="preserve">5.2 </w:t>
      </w:r>
      <w:r>
        <w:rPr>
          <w:rFonts w:hint="eastAsia"/>
          <w:lang w:val="en-US" w:eastAsia="zh-CN"/>
        </w:rPr>
        <w:t>果实完整、洁净、无裂果、无腐烂、病虫害、冷害和异味。</w:t>
      </w:r>
    </w:p>
    <w:p>
      <w:pPr>
        <w:spacing w:line="360" w:lineRule="auto"/>
      </w:pPr>
      <w:r>
        <w:rPr>
          <w:rFonts w:hint="eastAsia"/>
          <w:b/>
          <w:bCs/>
          <w:lang w:val="en-US" w:eastAsia="zh-CN"/>
        </w:rPr>
        <w:t xml:space="preserve">5.3 </w:t>
      </w:r>
      <w:r>
        <w:rPr>
          <w:rFonts w:hint="eastAsia"/>
          <w:lang w:val="en-US" w:eastAsia="zh-CN"/>
        </w:rPr>
        <w:t>污染物限量、农药最大残留量应符合GB2762、GB2763的</w:t>
      </w:r>
      <w:r>
        <w:t>有关规定。</w:t>
      </w:r>
    </w:p>
    <w:p>
      <w:pPr>
        <w:numPr>
          <w:ilvl w:val="0"/>
          <w:numId w:val="19"/>
        </w:numPr>
        <w:spacing w:line="360" w:lineRule="auto"/>
        <w:rPr>
          <w:rFonts w:hint="eastAsia"/>
          <w:b/>
          <w:bCs/>
          <w:sz w:val="24"/>
        </w:rPr>
      </w:pPr>
      <w:r>
        <w:rPr>
          <w:rFonts w:hint="eastAsia"/>
          <w:b/>
          <w:bCs/>
          <w:sz w:val="24"/>
        </w:rPr>
        <w:t>等级</w:t>
      </w:r>
      <w:r>
        <w:rPr>
          <w:rFonts w:hint="eastAsia"/>
          <w:b/>
          <w:bCs/>
          <w:sz w:val="24"/>
          <w:lang w:eastAsia="zh-CN"/>
        </w:rPr>
        <w:t>划分</w:t>
      </w:r>
    </w:p>
    <w:p>
      <w:pPr>
        <w:spacing w:beforeLines="100" w:afterLines="100"/>
        <w:ind w:firstLine="525" w:firstLineChars="250"/>
      </w:pPr>
      <w:r>
        <w:rPr>
          <w:rFonts w:hint="eastAsia"/>
          <w:lang w:eastAsia="zh-CN"/>
        </w:rPr>
        <w:t>大红</w:t>
      </w:r>
      <w:r>
        <w:rPr>
          <w:rFonts w:hint="eastAsia"/>
        </w:rPr>
        <w:t>番茄按其</w:t>
      </w:r>
      <w:r>
        <w:t>品质分为</w:t>
      </w:r>
      <w:r>
        <w:rPr>
          <w:rFonts w:hint="eastAsia"/>
        </w:rPr>
        <w:t>一</w:t>
      </w:r>
      <w:r>
        <w:t>级、</w:t>
      </w:r>
      <w:r>
        <w:rPr>
          <w:rFonts w:hint="eastAsia"/>
        </w:rPr>
        <w:t>二</w:t>
      </w:r>
      <w:r>
        <w:t>级、</w:t>
      </w:r>
      <w:r>
        <w:rPr>
          <w:rFonts w:hint="eastAsia"/>
        </w:rPr>
        <w:t>统货。</w:t>
      </w:r>
      <w:r>
        <w:t>各等级</w:t>
      </w:r>
      <w:r>
        <w:rPr>
          <w:rFonts w:hint="eastAsia"/>
        </w:rPr>
        <w:t>规格应</w:t>
      </w:r>
      <w:r>
        <w:t>符合表</w:t>
      </w:r>
      <w:r>
        <w:rPr>
          <w:rFonts w:hint="eastAsia"/>
        </w:rPr>
        <w:t>1的</w:t>
      </w:r>
      <w:r>
        <w:t>规定。</w:t>
      </w:r>
    </w:p>
    <w:p>
      <w:pPr>
        <w:spacing w:line="360" w:lineRule="auto"/>
        <w:jc w:val="center"/>
        <w:rPr>
          <w:b/>
          <w:bCs/>
        </w:rPr>
      </w:pPr>
      <w:r>
        <w:rPr>
          <w:rFonts w:hint="eastAsia"/>
          <w:b/>
          <w:bCs/>
        </w:rPr>
        <w:t xml:space="preserve">表1 </w:t>
      </w:r>
      <w:r>
        <w:rPr>
          <w:rFonts w:hint="eastAsia"/>
          <w:b/>
          <w:bCs/>
          <w:lang w:eastAsia="zh-CN"/>
        </w:rPr>
        <w:t>大红</w:t>
      </w:r>
      <w:r>
        <w:rPr>
          <w:rFonts w:hint="eastAsia"/>
          <w:b/>
          <w:bCs/>
        </w:rPr>
        <w:t>番茄等级</w:t>
      </w:r>
      <w:r>
        <w:rPr>
          <w:b/>
          <w:bCs/>
        </w:rPr>
        <w:t>规格</w:t>
      </w:r>
    </w:p>
    <w:tbl>
      <w:tblPr>
        <w:tblStyle w:val="35"/>
        <w:tblW w:w="8931" w:type="dxa"/>
        <w:tblInd w:w="93" w:type="dxa"/>
        <w:tblLayout w:type="fixed"/>
        <w:tblCellMar>
          <w:top w:w="0" w:type="dxa"/>
          <w:left w:w="108" w:type="dxa"/>
          <w:bottom w:w="0" w:type="dxa"/>
          <w:right w:w="108" w:type="dxa"/>
        </w:tblCellMar>
      </w:tblPr>
      <w:tblGrid>
        <w:gridCol w:w="1191"/>
        <w:gridCol w:w="2520"/>
        <w:gridCol w:w="2565"/>
        <w:gridCol w:w="2655"/>
      </w:tblGrid>
      <w:tr>
        <w:tblPrEx>
          <w:tblCellMar>
            <w:top w:w="0" w:type="dxa"/>
            <w:left w:w="108" w:type="dxa"/>
            <w:bottom w:w="0" w:type="dxa"/>
            <w:right w:w="108" w:type="dxa"/>
          </w:tblCellMar>
        </w:tblPrEx>
        <w:trPr>
          <w:trHeight w:val="480" w:hRule="atLeast"/>
        </w:trPr>
        <w:tc>
          <w:tcPr>
            <w:tcW w:w="119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7740"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级别</w:t>
            </w:r>
          </w:p>
        </w:tc>
      </w:tr>
      <w:tr>
        <w:tblPrEx>
          <w:tblCellMar>
            <w:top w:w="0" w:type="dxa"/>
            <w:left w:w="108" w:type="dxa"/>
            <w:bottom w:w="0" w:type="dxa"/>
            <w:right w:w="108" w:type="dxa"/>
          </w:tblCellMar>
        </w:tblPrEx>
        <w:trPr>
          <w:trHeight w:val="467" w:hRule="atLeast"/>
        </w:trPr>
        <w:tc>
          <w:tcPr>
            <w:tcW w:w="11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一级</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二级</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统货</w:t>
            </w:r>
          </w:p>
        </w:tc>
      </w:tr>
      <w:tr>
        <w:tblPrEx>
          <w:tblCellMar>
            <w:top w:w="0" w:type="dxa"/>
            <w:left w:w="108" w:type="dxa"/>
            <w:bottom w:w="0" w:type="dxa"/>
            <w:right w:w="108" w:type="dxa"/>
          </w:tblCellMar>
        </w:tblPrEx>
        <w:trPr>
          <w:trHeight w:val="64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2"/>
                <w:szCs w:val="22"/>
                <w:lang w:eastAsia="zh-CN"/>
              </w:rPr>
            </w:pPr>
            <w:r>
              <w:rPr>
                <w:rFonts w:hint="eastAsia" w:ascii="宋体" w:hAnsi="宋体" w:cs="宋体"/>
                <w:color w:val="auto"/>
                <w:kern w:val="0"/>
                <w:sz w:val="22"/>
                <w:szCs w:val="22"/>
                <w:lang w:eastAsia="zh-CN"/>
              </w:rPr>
              <w:t>参照图</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433830" cy="1075055"/>
                  <wp:effectExtent l="0" t="0" r="13970" b="10795"/>
                  <wp:docPr id="14" name="图片 14" descr="一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一级"/>
                          <pic:cNvPicPr>
                            <a:picLocks noChangeAspect="1"/>
                          </pic:cNvPicPr>
                        </pic:nvPicPr>
                        <pic:blipFill>
                          <a:blip r:embed="rId11"/>
                          <a:stretch>
                            <a:fillRect/>
                          </a:stretch>
                        </pic:blipFill>
                        <pic:spPr>
                          <a:xfrm>
                            <a:off x="0" y="0"/>
                            <a:ext cx="1433830" cy="1075055"/>
                          </a:xfrm>
                          <a:prstGeom prst="rect">
                            <a:avLst/>
                          </a:prstGeom>
                        </pic:spPr>
                      </pic:pic>
                    </a:graphicData>
                  </a:graphic>
                </wp:inline>
              </w:drawing>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485265" cy="1113790"/>
                  <wp:effectExtent l="0" t="0" r="635" b="10160"/>
                  <wp:docPr id="12" name="图片 12" descr="C:/Users/Administrator/AppData/Local/Temp/picturecompress_202111221558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picturecompress_20211122155803/output_1.jpgoutput_1"/>
                          <pic:cNvPicPr>
                            <a:picLocks noChangeAspect="1"/>
                          </pic:cNvPicPr>
                        </pic:nvPicPr>
                        <pic:blipFill>
                          <a:blip r:embed="rId12"/>
                          <a:stretch>
                            <a:fillRect/>
                          </a:stretch>
                        </pic:blipFill>
                        <pic:spPr>
                          <a:xfrm>
                            <a:off x="0" y="0"/>
                            <a:ext cx="1485265" cy="1113790"/>
                          </a:xfrm>
                          <a:prstGeom prst="rect">
                            <a:avLst/>
                          </a:prstGeom>
                        </pic:spPr>
                      </pic:pic>
                    </a:graphicData>
                  </a:graphic>
                </wp:inline>
              </w:drawing>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olor w:val="auto"/>
                <w:kern w:val="0"/>
                <w:szCs w:val="21"/>
                <w:lang w:eastAsia="zh-CN"/>
              </w:rPr>
            </w:pPr>
            <w:r>
              <w:rPr>
                <w:rFonts w:hint="eastAsia" w:ascii="宋体" w:hAnsi="宋体"/>
                <w:color w:val="auto"/>
                <w:kern w:val="0"/>
                <w:szCs w:val="21"/>
                <w:lang w:eastAsia="zh-CN"/>
              </w:rPr>
              <w:drawing>
                <wp:inline distT="0" distB="0" distL="114300" distR="114300">
                  <wp:extent cx="1536065" cy="1151890"/>
                  <wp:effectExtent l="0" t="0" r="6985" b="10160"/>
                  <wp:docPr id="13" name="图片 13" descr="C:/Users/Administrator/AppData/Local/Temp/picturecompress_2021112215581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picturecompress_20211122155815/output_1.jpgoutput_1"/>
                          <pic:cNvPicPr>
                            <a:picLocks noChangeAspect="1"/>
                          </pic:cNvPicPr>
                        </pic:nvPicPr>
                        <pic:blipFill>
                          <a:blip r:embed="rId13"/>
                          <a:stretch>
                            <a:fillRect/>
                          </a:stretch>
                        </pic:blipFill>
                        <pic:spPr>
                          <a:xfrm>
                            <a:off x="0" y="0"/>
                            <a:ext cx="1536065" cy="1151890"/>
                          </a:xfrm>
                          <a:prstGeom prst="rect">
                            <a:avLst/>
                          </a:prstGeom>
                        </pic:spPr>
                      </pic:pic>
                    </a:graphicData>
                  </a:graphic>
                </wp:inline>
              </w:drawing>
            </w:r>
          </w:p>
        </w:tc>
      </w:tr>
      <w:tr>
        <w:tblPrEx>
          <w:tblCellMar>
            <w:top w:w="0" w:type="dxa"/>
            <w:left w:w="108" w:type="dxa"/>
            <w:bottom w:w="0" w:type="dxa"/>
            <w:right w:w="108" w:type="dxa"/>
          </w:tblCellMar>
        </w:tblPrEx>
        <w:trPr>
          <w:trHeight w:val="64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auto"/>
                <w:kern w:val="0"/>
                <w:sz w:val="22"/>
                <w:szCs w:val="22"/>
                <w:lang w:eastAsia="zh-CN"/>
              </w:rPr>
              <w:t>采收标准</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eastAsia="宋体"/>
                <w:color w:val="auto"/>
                <w:lang w:eastAsia="zh-CN"/>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果形大小一致，果腔饱满充实，果皮光滑薄嫩，弹性好，色泽鲜亮。</w:t>
            </w:r>
            <w:r>
              <w:rPr>
                <w:rFonts w:hint="eastAsia" w:ascii="宋体" w:hAnsi="宋体"/>
                <w:color w:val="auto"/>
                <w:kern w:val="0"/>
                <w:szCs w:val="21"/>
              </w:rPr>
              <w:t>基本无</w:t>
            </w:r>
            <w:r>
              <w:rPr>
                <w:rFonts w:hint="eastAsia" w:ascii="宋体" w:hAnsi="宋体"/>
                <w:color w:val="auto"/>
                <w:kern w:val="0"/>
                <w:szCs w:val="21"/>
                <w:lang w:eastAsia="zh-CN"/>
              </w:rPr>
              <w:t>畸形</w:t>
            </w:r>
            <w:r>
              <w:rPr>
                <w:rFonts w:hint="eastAsia" w:ascii="宋体" w:hAnsi="宋体"/>
                <w:color w:val="auto"/>
                <w:kern w:val="0"/>
                <w:szCs w:val="21"/>
              </w:rPr>
              <w:t>，无虫咬，无霉变，无损伤。</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color w:val="auto"/>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果形大小较一致，果腔较饱满充实，果皮较光滑薄嫩，弹性较好，色泽鲜亮。可有极少量畸形</w:t>
            </w:r>
            <w:r>
              <w:rPr>
                <w:rFonts w:hint="eastAsia" w:ascii="宋体" w:hAnsi="宋体"/>
                <w:color w:val="auto"/>
                <w:kern w:val="0"/>
                <w:szCs w:val="21"/>
              </w:rPr>
              <w:t>，无虫咬，无霉变，无损伤。</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hAnsi="宋体" w:cs="宋体"/>
                <w:color w:val="auto"/>
                <w:szCs w:val="21"/>
              </w:rPr>
            </w:pPr>
            <w:r>
              <w:rPr>
                <w:rFonts w:hint="eastAsia" w:ascii="宋体" w:hAnsi="宋体"/>
                <w:color w:val="auto"/>
                <w:kern w:val="0"/>
                <w:szCs w:val="21"/>
                <w:lang w:eastAsia="zh-CN"/>
              </w:rPr>
              <w:t>具</w:t>
            </w:r>
            <w:r>
              <w:rPr>
                <w:rFonts w:hint="eastAsia" w:ascii="宋体" w:hAnsi="宋体"/>
                <w:color w:val="auto"/>
                <w:kern w:val="0"/>
                <w:szCs w:val="21"/>
              </w:rPr>
              <w:t>本品种应有特征，</w:t>
            </w:r>
            <w:r>
              <w:rPr>
                <w:rFonts w:hint="eastAsia" w:ascii="宋体" w:hAnsi="宋体"/>
                <w:color w:val="auto"/>
                <w:kern w:val="0"/>
                <w:szCs w:val="21"/>
                <w:lang w:eastAsia="zh-CN"/>
              </w:rPr>
              <w:t>果形大小稍有差异，果腔相对饱满充实，果皮基本光滑薄嫩，色泽相对鲜亮。可有少量畸形</w:t>
            </w:r>
            <w:r>
              <w:rPr>
                <w:rFonts w:hint="eastAsia" w:ascii="宋体" w:hAnsi="宋体"/>
                <w:color w:val="auto"/>
                <w:kern w:val="0"/>
                <w:szCs w:val="21"/>
              </w:rPr>
              <w:t>，无虫咬，无霉变，损伤</w:t>
            </w:r>
            <w:r>
              <w:rPr>
                <w:rFonts w:hint="eastAsia" w:ascii="宋体" w:hAnsi="宋体"/>
                <w:color w:val="auto"/>
                <w:kern w:val="0"/>
                <w:szCs w:val="21"/>
                <w:lang w:eastAsia="zh-CN"/>
              </w:rPr>
              <w:t>较少</w:t>
            </w:r>
            <w:r>
              <w:rPr>
                <w:rFonts w:hint="eastAsia" w:ascii="宋体" w:hAnsi="宋体"/>
                <w:color w:val="auto"/>
                <w:kern w:val="0"/>
                <w:szCs w:val="21"/>
              </w:rPr>
              <w:t>。</w:t>
            </w:r>
          </w:p>
        </w:tc>
      </w:tr>
      <w:tr>
        <w:tblPrEx>
          <w:tblCellMar>
            <w:top w:w="0" w:type="dxa"/>
            <w:left w:w="108" w:type="dxa"/>
            <w:bottom w:w="0" w:type="dxa"/>
            <w:right w:w="108" w:type="dxa"/>
          </w:tblCellMar>
        </w:tblPrEx>
        <w:trPr>
          <w:trHeight w:val="632"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形状</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果型圆润，整齐度高</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szCs w:val="21"/>
              </w:rPr>
            </w:pPr>
            <w:r>
              <w:rPr>
                <w:rFonts w:hint="eastAsia" w:ascii="宋体"/>
                <w:color w:val="auto"/>
                <w:lang w:eastAsia="zh-CN"/>
              </w:rPr>
              <w:t>果型较圆润，</w:t>
            </w:r>
            <w:r>
              <w:rPr>
                <w:rFonts w:ascii="宋体"/>
                <w:color w:val="auto"/>
              </w:rPr>
              <w:t>整齐度尚高</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szCs w:val="21"/>
              </w:rPr>
            </w:pPr>
            <w:r>
              <w:rPr>
                <w:rFonts w:hint="eastAsia" w:ascii="宋体" w:hAnsi="宋体" w:cs="宋体"/>
                <w:color w:val="auto"/>
                <w:szCs w:val="21"/>
                <w:lang w:eastAsia="zh-CN"/>
              </w:rPr>
              <w:t>果型完整，可有轻微畸形</w:t>
            </w:r>
          </w:p>
        </w:tc>
      </w:tr>
      <w:tr>
        <w:tblPrEx>
          <w:tblCellMar>
            <w:top w:w="0" w:type="dxa"/>
            <w:left w:w="108" w:type="dxa"/>
            <w:bottom w:w="0" w:type="dxa"/>
            <w:right w:w="108" w:type="dxa"/>
          </w:tblCellMar>
        </w:tblPrEx>
        <w:trPr>
          <w:trHeight w:val="105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外观</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rPr>
            </w:pPr>
            <w:r>
              <w:rPr>
                <w:rFonts w:hint="eastAsia" w:ascii="宋体"/>
                <w:color w:val="auto"/>
                <w:lang w:eastAsia="zh-CN"/>
              </w:rPr>
              <w:t>大小、果型、颜色均匀、一致，统一包装中果实直径差异</w:t>
            </w:r>
            <w:r>
              <w:rPr>
                <w:rFonts w:hint="eastAsia" w:ascii="宋体"/>
                <w:color w:val="auto"/>
                <w:lang w:val="en-US" w:eastAsia="zh-CN"/>
              </w:rPr>
              <w:t>&lt;5%</w:t>
            </w:r>
          </w:p>
        </w:tc>
        <w:tc>
          <w:tcPr>
            <w:tcW w:w="256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rPr>
            </w:pPr>
            <w:r>
              <w:rPr>
                <w:rFonts w:hint="eastAsia" w:ascii="宋体"/>
                <w:color w:val="auto"/>
                <w:lang w:eastAsia="zh-CN"/>
              </w:rPr>
              <w:t>大小、果型、颜色较均匀、一致，统一包装中果实直径差异</w:t>
            </w:r>
            <w:r>
              <w:rPr>
                <w:rFonts w:hint="eastAsia" w:ascii="宋体"/>
                <w:color w:val="auto"/>
                <w:lang w:val="en-US" w:eastAsia="zh-CN"/>
              </w:rPr>
              <w:t>&lt;10%</w:t>
            </w:r>
          </w:p>
        </w:tc>
        <w:tc>
          <w:tcPr>
            <w:tcW w:w="26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Cs w:val="21"/>
              </w:rPr>
            </w:pPr>
            <w:r>
              <w:rPr>
                <w:rFonts w:hint="eastAsia" w:ascii="宋体"/>
                <w:color w:val="auto"/>
                <w:lang w:eastAsia="zh-CN"/>
              </w:rPr>
              <w:t>大小、果型、颜色尚均匀、一致，统一包装中果实直径差异</w:t>
            </w:r>
            <w:r>
              <w:rPr>
                <w:rFonts w:hint="eastAsia" w:ascii="宋体"/>
                <w:color w:val="auto"/>
                <w:lang w:val="en-US" w:eastAsia="zh-CN"/>
              </w:rPr>
              <w:t>&lt;15%</w:t>
            </w:r>
          </w:p>
        </w:tc>
      </w:tr>
      <w:tr>
        <w:tblPrEx>
          <w:tblCellMar>
            <w:top w:w="0" w:type="dxa"/>
            <w:left w:w="108" w:type="dxa"/>
            <w:bottom w:w="0" w:type="dxa"/>
            <w:right w:w="108" w:type="dxa"/>
          </w:tblCellMar>
        </w:tblPrEx>
        <w:trPr>
          <w:trHeight w:val="126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2"/>
                <w:szCs w:val="22"/>
              </w:rPr>
              <w:t>品质</w:t>
            </w:r>
          </w:p>
        </w:tc>
        <w:tc>
          <w:tcPr>
            <w:tcW w:w="2520"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kern w:val="0"/>
                <w:szCs w:val="21"/>
              </w:rPr>
            </w:pPr>
            <w:r>
              <w:rPr>
                <w:rFonts w:hint="eastAsia" w:ascii="宋体"/>
                <w:color w:val="auto"/>
              </w:rPr>
              <w:t>硬实、无异味；无</w:t>
            </w:r>
            <w:r>
              <w:rPr>
                <w:rFonts w:ascii="宋体"/>
                <w:color w:val="auto"/>
              </w:rPr>
              <w:t>烂果、过熟、日</w:t>
            </w:r>
            <w:r>
              <w:rPr>
                <w:rFonts w:hint="eastAsia" w:ascii="宋体"/>
                <w:color w:val="auto"/>
              </w:rPr>
              <w:t>伤、</w:t>
            </w:r>
            <w:r>
              <w:rPr>
                <w:rFonts w:ascii="宋体"/>
                <w:color w:val="auto"/>
              </w:rPr>
              <w:t>褐色斑</w:t>
            </w:r>
            <w:r>
              <w:rPr>
                <w:rFonts w:hint="eastAsia" w:ascii="宋体"/>
                <w:color w:val="auto"/>
              </w:rPr>
              <w:t>、</w:t>
            </w:r>
            <w:r>
              <w:rPr>
                <w:rFonts w:ascii="宋体"/>
                <w:color w:val="auto"/>
              </w:rPr>
              <w:t>疤痕、雹伤、冻伤、褶皱、空腔、畸形</w:t>
            </w:r>
            <w:r>
              <w:rPr>
                <w:rFonts w:hint="eastAsia" w:ascii="宋体"/>
                <w:color w:val="auto"/>
              </w:rPr>
              <w:t>果</w:t>
            </w:r>
            <w:r>
              <w:rPr>
                <w:rFonts w:ascii="宋体"/>
                <w:color w:val="auto"/>
              </w:rPr>
              <w:t>、</w:t>
            </w:r>
            <w:r>
              <w:rPr>
                <w:rFonts w:hint="eastAsia" w:ascii="宋体"/>
                <w:color w:val="auto"/>
              </w:rPr>
              <w:t>裂果</w:t>
            </w:r>
            <w:r>
              <w:rPr>
                <w:rFonts w:ascii="宋体"/>
                <w:color w:val="auto"/>
              </w:rPr>
              <w:t>、病虫害及机械伤</w:t>
            </w:r>
          </w:p>
        </w:tc>
        <w:tc>
          <w:tcPr>
            <w:tcW w:w="256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kern w:val="0"/>
                <w:szCs w:val="21"/>
              </w:rPr>
            </w:pPr>
            <w:r>
              <w:rPr>
                <w:rFonts w:hint="eastAsia" w:ascii="宋体"/>
                <w:color w:val="auto"/>
              </w:rPr>
              <w:t>硬实、无异味；无</w:t>
            </w:r>
            <w:r>
              <w:rPr>
                <w:rFonts w:ascii="宋体"/>
                <w:color w:val="auto"/>
              </w:rPr>
              <w:t>烂果、过熟、日伤、褪色斑、疤痕、雹伤、冻伤、褶皱、空腔、畸形果、裂果、病虫害及机械伤</w:t>
            </w:r>
          </w:p>
        </w:tc>
        <w:tc>
          <w:tcPr>
            <w:tcW w:w="265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ascii="宋体" w:hAnsi="宋体" w:cs="宋体"/>
                <w:color w:val="auto"/>
                <w:kern w:val="0"/>
                <w:szCs w:val="21"/>
              </w:rPr>
            </w:pPr>
            <w:r>
              <w:rPr>
                <w:rFonts w:hint="eastAsia" w:ascii="宋体"/>
                <w:color w:val="auto"/>
              </w:rPr>
              <w:t>较硬实、无异味；无</w:t>
            </w:r>
            <w:r>
              <w:rPr>
                <w:rFonts w:ascii="宋体"/>
                <w:color w:val="auto"/>
              </w:rPr>
              <w:t>烂果、过熟，无严重日伤、大疤痕、畸形果、裂果、病虫害及机械伤</w:t>
            </w:r>
          </w:p>
        </w:tc>
      </w:tr>
      <w:tr>
        <w:tblPrEx>
          <w:tblCellMar>
            <w:top w:w="0" w:type="dxa"/>
            <w:left w:w="108" w:type="dxa"/>
            <w:bottom w:w="0" w:type="dxa"/>
            <w:right w:w="108" w:type="dxa"/>
          </w:tblCellMar>
        </w:tblPrEx>
        <w:trPr>
          <w:trHeight w:val="945"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4"/>
              </w:rPr>
            </w:pPr>
            <w:r>
              <w:rPr>
                <w:rFonts w:hint="eastAsia" w:ascii="宋体" w:hAnsi="宋体" w:cs="宋体"/>
                <w:color w:val="000000"/>
                <w:kern w:val="0"/>
                <w:sz w:val="22"/>
                <w:szCs w:val="22"/>
              </w:rPr>
              <w:t>成熟度</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pStyle w:val="154"/>
              <w:ind w:firstLine="0" w:firstLineChars="0"/>
              <w:jc w:val="left"/>
              <w:rPr>
                <w:rFonts w:hint="eastAsia" w:ascii="宋体"/>
                <w:color w:val="auto"/>
                <w:lang w:eastAsia="zh-CN"/>
              </w:rPr>
            </w:pPr>
            <w:r>
              <w:rPr>
                <w:rFonts w:hint="eastAsia" w:ascii="宋体"/>
                <w:color w:val="auto"/>
                <w:lang w:eastAsia="zh-CN"/>
              </w:rPr>
              <w:t>果实饱满，果腔充实，富有弹性</w:t>
            </w:r>
          </w:p>
        </w:tc>
        <w:tc>
          <w:tcPr>
            <w:tcW w:w="2565" w:type="dxa"/>
            <w:tcBorders>
              <w:top w:val="single" w:color="000000" w:sz="4" w:space="0"/>
              <w:left w:val="single" w:color="000000" w:sz="4" w:space="0"/>
              <w:bottom w:val="single" w:color="000000" w:sz="4" w:space="0"/>
              <w:right w:val="single" w:color="000000" w:sz="4" w:space="0"/>
            </w:tcBorders>
            <w:vAlign w:val="center"/>
          </w:tcPr>
          <w:p>
            <w:pPr>
              <w:pStyle w:val="154"/>
              <w:ind w:firstLine="0" w:firstLineChars="0"/>
              <w:jc w:val="left"/>
              <w:rPr>
                <w:rFonts w:hint="eastAsia" w:ascii="宋体"/>
                <w:color w:val="auto"/>
              </w:rPr>
            </w:pPr>
            <w:r>
              <w:rPr>
                <w:rFonts w:hint="eastAsia" w:ascii="宋体"/>
                <w:color w:val="auto"/>
                <w:lang w:eastAsia="zh-CN"/>
              </w:rPr>
              <w:t>果肉较饱满，果腔较充实，有弹性</w:t>
            </w:r>
          </w:p>
        </w:tc>
        <w:tc>
          <w:tcPr>
            <w:tcW w:w="26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eastAsia="zh-CN"/>
              </w:rPr>
              <w:t>稍过熟或稍欠熟，果腔基本充实，果实稍软或过硬，弹性稍差</w:t>
            </w:r>
          </w:p>
        </w:tc>
      </w:tr>
      <w:tr>
        <w:tblPrEx>
          <w:tblCellMar>
            <w:top w:w="0" w:type="dxa"/>
            <w:left w:w="108" w:type="dxa"/>
            <w:bottom w:w="0" w:type="dxa"/>
            <w:right w:w="108" w:type="dxa"/>
          </w:tblCellMar>
        </w:tblPrEx>
        <w:trPr>
          <w:trHeight w:val="780"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直径</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eastAsia="宋体"/>
                <w:color w:val="auto"/>
                <w:highlight w:val="none"/>
                <w:lang w:val="en-US" w:eastAsia="zh-CN"/>
              </w:rPr>
            </w:pPr>
            <w:r>
              <w:rPr>
                <w:rFonts w:hint="eastAsia" w:ascii="宋体"/>
                <w:color w:val="auto"/>
                <w:highlight w:val="none"/>
                <w:lang w:val="en-US" w:eastAsia="zh-CN"/>
              </w:rPr>
              <w:t>6-8cm</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eastAsia="宋体"/>
                <w:color w:val="auto"/>
                <w:highlight w:val="none"/>
                <w:lang w:val="en-US" w:eastAsia="zh-CN"/>
              </w:rPr>
            </w:pPr>
            <w:r>
              <w:rPr>
                <w:rFonts w:hint="eastAsia" w:ascii="宋体"/>
                <w:color w:val="auto"/>
                <w:highlight w:val="none"/>
                <w:lang w:val="en-US" w:eastAsia="zh-CN"/>
              </w:rPr>
              <w:t>4-6cm</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olor w:val="auto"/>
                <w:highlight w:val="none"/>
                <w:lang w:val="en-US" w:eastAsia="zh-CN"/>
              </w:rPr>
            </w:pPr>
            <w:r>
              <w:rPr>
                <w:rFonts w:hint="eastAsia" w:ascii="宋体"/>
                <w:color w:val="auto"/>
                <w:highlight w:val="none"/>
              </w:rPr>
              <w:t>4-</w:t>
            </w:r>
            <w:r>
              <w:rPr>
                <w:rFonts w:hint="eastAsia" w:ascii="宋体"/>
                <w:color w:val="auto"/>
                <w:highlight w:val="none"/>
                <w:lang w:val="en-US" w:eastAsia="zh-CN"/>
              </w:rPr>
              <w:t>9cm</w:t>
            </w:r>
          </w:p>
        </w:tc>
      </w:tr>
      <w:tr>
        <w:tblPrEx>
          <w:tblCellMar>
            <w:top w:w="0" w:type="dxa"/>
            <w:left w:w="108" w:type="dxa"/>
            <w:bottom w:w="0" w:type="dxa"/>
            <w:right w:w="108" w:type="dxa"/>
          </w:tblCellMar>
        </w:tblPrEx>
        <w:trPr>
          <w:trHeight w:val="635" w:hRule="atLeast"/>
        </w:trPr>
        <w:tc>
          <w:tcPr>
            <w:tcW w:w="11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2"/>
                <w:szCs w:val="22"/>
                <w:highlight w:val="none"/>
              </w:rPr>
              <w:t>重量（g）</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200-300</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150-200</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150-300</w:t>
            </w:r>
          </w:p>
        </w:tc>
      </w:tr>
      <w:tr>
        <w:tblPrEx>
          <w:tblCellMar>
            <w:top w:w="0" w:type="dxa"/>
            <w:left w:w="108" w:type="dxa"/>
            <w:bottom w:w="0" w:type="dxa"/>
            <w:right w:w="108" w:type="dxa"/>
          </w:tblCellMar>
        </w:tblPrEx>
        <w:trPr>
          <w:trHeight w:val="1160" w:hRule="atLeast"/>
        </w:trPr>
        <w:tc>
          <w:tcPr>
            <w:tcW w:w="11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限度</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default" w:ascii="宋体" w:hAnsi="宋体" w:eastAsia="宋体" w:cs="宋体"/>
                <w:color w:val="auto"/>
                <w:lang w:val="en-US" w:eastAsia="zh-CN"/>
              </w:rPr>
            </w:pPr>
            <w:r>
              <w:rPr>
                <w:rFonts w:hint="eastAsia" w:ascii="宋体"/>
                <w:color w:val="auto"/>
                <w:lang w:eastAsia="zh-CN"/>
              </w:rPr>
              <w:t>按数量计，一级允许有</w:t>
            </w:r>
            <w:r>
              <w:rPr>
                <w:rFonts w:hint="eastAsia" w:ascii="宋体"/>
                <w:color w:val="auto"/>
                <w:lang w:val="en-US" w:eastAsia="zh-CN"/>
              </w:rPr>
              <w:t>5%的产品不符合该等级的要求，但应符合二级的要求</w:t>
            </w:r>
          </w:p>
        </w:tc>
        <w:tc>
          <w:tcPr>
            <w:tcW w:w="256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color w:val="auto"/>
              </w:rPr>
            </w:pPr>
            <w:r>
              <w:rPr>
                <w:rFonts w:hint="eastAsia" w:ascii="宋体"/>
                <w:color w:val="auto"/>
                <w:lang w:eastAsia="zh-CN"/>
              </w:rPr>
              <w:t>按数量计，二级允许有</w:t>
            </w:r>
            <w:r>
              <w:rPr>
                <w:rFonts w:hint="eastAsia" w:ascii="宋体"/>
                <w:color w:val="auto"/>
                <w:lang w:val="en-US" w:eastAsia="zh-CN"/>
              </w:rPr>
              <w:t>10%的产品不符合该等级的要求，但应符合统货的要求</w:t>
            </w:r>
          </w:p>
        </w:tc>
        <w:tc>
          <w:tcPr>
            <w:tcW w:w="265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color w:val="auto"/>
              </w:rPr>
            </w:pPr>
            <w:r>
              <w:rPr>
                <w:rFonts w:hint="eastAsia" w:ascii="宋体"/>
                <w:color w:val="auto"/>
                <w:lang w:eastAsia="zh-CN"/>
              </w:rPr>
              <w:t>按数量计，统货允许有</w:t>
            </w:r>
            <w:r>
              <w:rPr>
                <w:rFonts w:hint="eastAsia" w:ascii="宋体"/>
                <w:color w:val="auto"/>
                <w:lang w:val="en-US" w:eastAsia="zh-CN"/>
              </w:rPr>
              <w:t>15%的产品不符合该等级的要求，但不允许存在次货</w:t>
            </w:r>
          </w:p>
        </w:tc>
      </w:tr>
    </w:tbl>
    <w:p/>
    <w:p>
      <w:pPr>
        <w:pStyle w:val="154"/>
        <w:numPr>
          <w:ilvl w:val="0"/>
          <w:numId w:val="0"/>
        </w:numPr>
        <w:ind w:leftChars="0"/>
        <w:rPr>
          <w:rFonts w:hint="eastAsia" w:ascii="宋体" w:hAnsi="宋体" w:eastAsia="宋体" w:cs="宋体"/>
          <w:b/>
          <w:bCs/>
          <w:sz w:val="24"/>
          <w:lang w:val="en-US" w:eastAsia="zh-CN"/>
        </w:rPr>
      </w:pPr>
      <w:r>
        <w:rPr>
          <w:rFonts w:hint="eastAsia" w:ascii="宋体" w:hAnsi="宋体" w:cs="宋体"/>
          <w:b/>
          <w:bCs/>
          <w:sz w:val="24"/>
          <w:lang w:val="en-US" w:eastAsia="zh-CN"/>
        </w:rPr>
        <w:t>7</w:t>
      </w:r>
      <w:r>
        <w:rPr>
          <w:rFonts w:hint="eastAsia" w:ascii="宋体" w:hAnsi="宋体" w:eastAsia="宋体" w:cs="宋体"/>
          <w:b/>
          <w:bCs/>
          <w:sz w:val="24"/>
          <w:lang w:val="en-US" w:eastAsia="zh-CN"/>
        </w:rPr>
        <w:t xml:space="preserve">  包装与标识</w:t>
      </w:r>
    </w:p>
    <w:p>
      <w:pPr>
        <w:pStyle w:val="154"/>
        <w:numPr>
          <w:ilvl w:val="0"/>
          <w:numId w:val="0"/>
        </w:numPr>
        <w:ind w:leftChars="0"/>
        <w:rPr>
          <w:rFonts w:hint="eastAsia" w:ascii="Calibri" w:hAnsi="Calibri"/>
          <w:b/>
          <w:bCs/>
          <w:sz w:val="24"/>
          <w:lang w:val="en-US" w:eastAsia="zh-CN"/>
        </w:rPr>
      </w:pPr>
    </w:p>
    <w:p>
      <w:pPr>
        <w:spacing w:line="360" w:lineRule="auto"/>
        <w:rPr>
          <w:rFonts w:hint="default" w:ascii="Calibri" w:hAnsi="Calibri"/>
          <w:b/>
          <w:bCs/>
          <w:sz w:val="24"/>
          <w:lang w:val="en-US" w:eastAsia="zh-CN"/>
        </w:rPr>
      </w:pPr>
      <w:r>
        <w:rPr>
          <w:rFonts w:hint="eastAsia"/>
          <w:b/>
          <w:bCs/>
          <w:sz w:val="21"/>
          <w:szCs w:val="21"/>
          <w:lang w:val="en-US" w:eastAsia="zh-CN"/>
        </w:rPr>
        <w:t>7.1 包装材料</w:t>
      </w:r>
    </w:p>
    <w:p>
      <w:pPr>
        <w:widowControl/>
        <w:spacing w:line="360" w:lineRule="auto"/>
        <w:ind w:firstLine="420" w:firstLineChars="200"/>
        <w:jc w:val="left"/>
        <w:rPr>
          <w:rFonts w:hint="eastAsia" w:ascii="宋体" w:hAnsi="宋体" w:cs="宋体"/>
          <w:color w:val="000000"/>
          <w:kern w:val="0"/>
          <w:szCs w:val="21"/>
          <w:lang w:eastAsia="zh-CN"/>
        </w:rPr>
      </w:pPr>
      <w:r>
        <w:rPr>
          <w:rFonts w:hint="eastAsia" w:ascii="宋体" w:hAnsi="宋体" w:cs="宋体"/>
          <w:b w:val="0"/>
          <w:bCs w:val="0"/>
          <w:lang w:val="en-US" w:eastAsia="zh-CN"/>
        </w:rPr>
        <w:t>7.1.1</w:t>
      </w:r>
      <w:r>
        <w:rPr>
          <w:rFonts w:hint="eastAsia" w:ascii="宋体" w:hAnsi="宋体" w:cs="宋体"/>
          <w:color w:val="000000"/>
          <w:kern w:val="0"/>
          <w:szCs w:val="21"/>
          <w:lang w:eastAsia="zh-CN"/>
        </w:rPr>
        <w:t>包装材料应</w:t>
      </w:r>
      <w:r>
        <w:rPr>
          <w:rFonts w:hint="eastAsia" w:ascii="宋体" w:hAnsi="宋体" w:cs="宋体"/>
          <w:color w:val="000000"/>
          <w:kern w:val="0"/>
          <w:szCs w:val="21"/>
          <w:lang w:val="en-US" w:eastAsia="zh-CN"/>
        </w:rPr>
        <w:t>无</w:t>
      </w:r>
      <w:r>
        <w:rPr>
          <w:rFonts w:hint="eastAsia" w:ascii="宋体" w:hAnsi="宋体" w:cs="宋体"/>
          <w:color w:val="000000"/>
          <w:kern w:val="0"/>
          <w:szCs w:val="21"/>
          <w:lang w:eastAsia="zh-CN"/>
        </w:rPr>
        <w:t>毒、清洁、干燥、无污染、无异味，具有一定的通透性、防潮性、抗压性和环保性，可回收利用或可降解。</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b w:val="0"/>
          <w:bCs w:val="0"/>
          <w:lang w:val="en-US" w:eastAsia="zh-CN"/>
        </w:rPr>
        <w:t>7.1.2</w:t>
      </w:r>
      <w:r>
        <w:rPr>
          <w:rFonts w:hint="eastAsia" w:ascii="宋体" w:hAnsi="宋体" w:cs="宋体"/>
          <w:color w:val="000000"/>
          <w:kern w:val="0"/>
          <w:szCs w:val="21"/>
        </w:rPr>
        <w:t>包装</w:t>
      </w:r>
      <w:r>
        <w:rPr>
          <w:rFonts w:hint="eastAsia" w:ascii="宋体" w:hAnsi="宋体" w:cs="宋体"/>
          <w:color w:val="000000"/>
          <w:kern w:val="0"/>
          <w:szCs w:val="21"/>
          <w:lang w:eastAsia="zh-CN"/>
        </w:rPr>
        <w:t>容器</w:t>
      </w:r>
      <w:r>
        <w:rPr>
          <w:rFonts w:hint="eastAsia" w:ascii="宋体" w:hAnsi="宋体" w:cs="宋体"/>
          <w:color w:val="000000"/>
          <w:kern w:val="0"/>
          <w:szCs w:val="21"/>
        </w:rPr>
        <w:t>宜选用瓦楞纸箱或塑料</w:t>
      </w:r>
      <w:r>
        <w:rPr>
          <w:rFonts w:hint="eastAsia" w:ascii="宋体" w:hAnsi="宋体" w:cs="宋体"/>
          <w:color w:val="000000"/>
          <w:kern w:val="0"/>
          <w:szCs w:val="21"/>
          <w:lang w:eastAsia="zh-CN"/>
        </w:rPr>
        <w:t>周转箱等</w:t>
      </w:r>
      <w:r>
        <w:rPr>
          <w:rFonts w:hint="eastAsia" w:ascii="宋体" w:hAnsi="宋体" w:cs="宋体"/>
          <w:color w:val="000000"/>
          <w:kern w:val="0"/>
          <w:szCs w:val="21"/>
        </w:rPr>
        <w:t>。瓦楞纸箱</w:t>
      </w:r>
      <w:r>
        <w:rPr>
          <w:rFonts w:hint="eastAsia" w:ascii="宋体" w:hAnsi="宋体" w:cs="宋体"/>
          <w:color w:val="000000"/>
          <w:kern w:val="0"/>
          <w:szCs w:val="21"/>
          <w:lang w:val="en-US" w:eastAsia="zh-CN"/>
        </w:rPr>
        <w:t>材质</w:t>
      </w:r>
      <w:r>
        <w:rPr>
          <w:rFonts w:hint="eastAsia" w:ascii="宋体" w:hAnsi="宋体" w:cs="宋体"/>
          <w:color w:val="000000"/>
          <w:kern w:val="0"/>
          <w:szCs w:val="21"/>
        </w:rPr>
        <w:t>应符合 GB/T 6543 的</w:t>
      </w:r>
      <w:r>
        <w:rPr>
          <w:rFonts w:hint="eastAsia" w:ascii="宋体" w:hAnsi="宋体" w:cs="宋体"/>
          <w:color w:val="000000"/>
          <w:kern w:val="0"/>
          <w:szCs w:val="21"/>
          <w:lang w:val="en-US" w:eastAsia="zh-CN"/>
        </w:rPr>
        <w:t>规定</w:t>
      </w:r>
      <w:r>
        <w:rPr>
          <w:rFonts w:hint="eastAsia" w:ascii="宋体" w:hAnsi="宋体" w:cs="宋体"/>
          <w:color w:val="000000"/>
          <w:kern w:val="0"/>
          <w:szCs w:val="21"/>
          <w:lang w:eastAsia="zh-CN"/>
        </w:rPr>
        <w:t>，塑料周转箱应符合</w:t>
      </w:r>
      <w:r>
        <w:rPr>
          <w:rFonts w:hint="eastAsia" w:ascii="宋体" w:hAnsi="宋体" w:cs="宋体"/>
          <w:color w:val="000000"/>
          <w:kern w:val="0"/>
          <w:szCs w:val="21"/>
          <w:lang w:val="en-US" w:eastAsia="zh-CN"/>
        </w:rPr>
        <w:t>GB/T 5737的规定。</w:t>
      </w:r>
    </w:p>
    <w:p>
      <w:pPr>
        <w:widowControl/>
        <w:jc w:val="left"/>
        <w:rPr>
          <w:rFonts w:hint="eastAsia" w:ascii="宋体" w:hAnsi="宋体" w:cs="宋体"/>
          <w:color w:val="000000"/>
          <w:kern w:val="0"/>
          <w:szCs w:val="21"/>
        </w:rPr>
      </w:pPr>
    </w:p>
    <w:p>
      <w:pPr>
        <w:spacing w:line="360" w:lineRule="auto"/>
        <w:rPr>
          <w:rFonts w:hint="default" w:ascii="Calibri" w:hAnsi="Calibri"/>
          <w:b/>
          <w:bCs/>
          <w:sz w:val="24"/>
          <w:lang w:val="en-US" w:eastAsia="zh-CN"/>
        </w:rPr>
      </w:pPr>
      <w:r>
        <w:rPr>
          <w:rFonts w:hint="eastAsia"/>
          <w:b/>
          <w:bCs/>
          <w:sz w:val="21"/>
          <w:szCs w:val="21"/>
          <w:lang w:val="en-US" w:eastAsia="zh-CN"/>
        </w:rPr>
        <w:t>7.2 包装箱规格</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包装箱规格应便于番茄的摆放、装卸和运输，与托盘、运输工具等物流设施相配套，可摆放番茄的最大重量宜在20KG以内。包装箱规格可参考表2。</w:t>
      </w:r>
    </w:p>
    <w:p>
      <w:pPr>
        <w:spacing w:line="360" w:lineRule="auto"/>
        <w:jc w:val="center"/>
        <w:rPr>
          <w:rFonts w:hint="eastAsia"/>
          <w:b/>
          <w:bCs/>
          <w:lang w:val="en-US" w:eastAsia="zh-CN"/>
        </w:rPr>
      </w:pPr>
      <w:r>
        <w:rPr>
          <w:rFonts w:hint="eastAsia"/>
          <w:b/>
          <w:bCs/>
          <w:lang w:val="en-US" w:eastAsia="zh-CN"/>
        </w:rPr>
        <w:t>表2 番茄包装箱的参考规格</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包装箱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净重/KG</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尺寸（长*宽*高）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瓦楞纸箱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12</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400mm*280mm*230mm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widowControl/>
              <w:spacing w:line="360" w:lineRule="auto"/>
              <w:jc w:val="left"/>
              <w:rPr>
                <w:rFonts w:hint="default" w:ascii="宋体" w:hAnsi="宋体" w:cs="宋体"/>
                <w:color w:val="000000"/>
                <w:kern w:val="0"/>
                <w:szCs w:val="21"/>
                <w:vertAlign w:val="baseline"/>
                <w:lang w:val="en-US" w:eastAsia="zh-CN"/>
              </w:rPr>
            </w:pP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20</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425mm*285mm*425mm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聚苯乙烯箱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11</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465mm*300mm*240mm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塑料周转箱</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20</w:t>
            </w:r>
          </w:p>
        </w:tc>
        <w:tc>
          <w:tcPr>
            <w:tcW w:w="2841" w:type="dxa"/>
          </w:tcPr>
          <w:p>
            <w:pPr>
              <w:widowControl/>
              <w:spacing w:line="360" w:lineRule="auto"/>
              <w:jc w:val="left"/>
              <w:rPr>
                <w:rFonts w:hint="default"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480mm*320mm*285mm</w:t>
            </w:r>
          </w:p>
        </w:tc>
      </w:tr>
    </w:tbl>
    <w:p>
      <w:pPr>
        <w:pStyle w:val="154"/>
        <w:numPr>
          <w:ilvl w:val="0"/>
          <w:numId w:val="0"/>
        </w:numPr>
        <w:ind w:leftChars="0"/>
        <w:rPr>
          <w:rFonts w:hint="eastAsia" w:ascii="Calibri" w:hAnsi="Calibri"/>
          <w:b/>
          <w:bCs/>
          <w:sz w:val="24"/>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7.3 包装方法</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7.3.1采集后番茄应在阴凉、清洁、通风的环境中堆放，根据第5章进行分级。</w:t>
      </w:r>
    </w:p>
    <w:p>
      <w:pPr>
        <w:widowControl/>
        <w:spacing w:line="360" w:lineRule="auto"/>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7.3.2番茄包装前应进行预冷处理，使番茄快速降温至10</w:t>
      </w:r>
      <w:r>
        <w:rPr>
          <w:rFonts w:hint="eastAsia"/>
          <w:kern w:val="0"/>
          <w:szCs w:val="21"/>
        </w:rPr>
        <w:t>℃</w:t>
      </w:r>
      <w:r>
        <w:rPr>
          <w:rFonts w:hint="eastAsia"/>
          <w:kern w:val="0"/>
          <w:szCs w:val="21"/>
          <w:lang w:eastAsia="zh-CN"/>
        </w:rPr>
        <w:t>。</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7.3.3产品整齐排放，最上一层果蒂朝上，下面两层果蒂朝下（防止扎伤）。视体积大小，码放2-3层，层与层之间加以衬板。</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7.3.4包装箱宜用塑料胶带封口。</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7.3.5同一包装箱内，应为同一等级、同一规格的产品。包装内的产品可视部分应具有整个包装产品的代表性。</w:t>
      </w:r>
    </w:p>
    <w:p>
      <w:pPr>
        <w:widowControl/>
        <w:spacing w:line="360" w:lineRule="auto"/>
        <w:jc w:val="left"/>
        <w:rPr>
          <w:rFonts w:hint="eastAsia" w:ascii="宋体" w:hAnsi="宋体" w:cs="宋体"/>
          <w:color w:val="000000"/>
          <w:kern w:val="0"/>
          <w:szCs w:val="21"/>
          <w:lang w:val="en-US" w:eastAsia="zh-CN"/>
        </w:rPr>
      </w:pPr>
    </w:p>
    <w:p>
      <w:pPr>
        <w:widowControl/>
        <w:spacing w:line="360" w:lineRule="auto"/>
        <w:jc w:val="left"/>
        <w:rPr>
          <w:rFonts w:hint="eastAsia" w:ascii="宋体" w:hAnsi="宋体" w:cs="宋体"/>
          <w:color w:val="000000"/>
          <w:kern w:val="0"/>
          <w:szCs w:val="21"/>
          <w:lang w:val="en-US" w:eastAsia="zh-CN"/>
        </w:rPr>
      </w:pPr>
    </w:p>
    <w:p>
      <w:pPr>
        <w:widowControl/>
        <w:spacing w:line="360" w:lineRule="auto"/>
        <w:jc w:val="left"/>
        <w:rPr>
          <w:rFonts w:hint="eastAsia" w:ascii="宋体" w:hAnsi="宋体" w:cs="宋体"/>
          <w:color w:val="000000"/>
          <w:kern w:val="0"/>
          <w:szCs w:val="21"/>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7.4 包装参照图</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瓦楞纸箱</w:t>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聚苯乙烯箱</w:t>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t>塑料周转箱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5" name="图片 15" descr="C:/Users/Administrator/AppData/Local/Temp/picturecompress_2021112216015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picturecompress_20211122160151/output_1.jpgoutput_1"/>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6" name="图片 16" descr="C:/Users/Administrator/AppData/Local/Temp/picturecompress_2021112216020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picturecompress_20211122160200/output_1.jpgoutput_1"/>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c>
          <w:tcPr>
            <w:tcW w:w="2841" w:type="dxa"/>
          </w:tcPr>
          <w:p>
            <w:pPr>
              <w:widowControl/>
              <w:jc w:val="center"/>
              <w:rPr>
                <w:rFonts w:hint="eastAsia" w:ascii="宋体" w:hAnsi="宋体" w:cs="宋体"/>
                <w:color w:val="000000"/>
                <w:kern w:val="0"/>
                <w:szCs w:val="21"/>
                <w:vertAlign w:val="baseline"/>
                <w:lang w:val="en-US" w:eastAsia="zh-CN"/>
              </w:rPr>
            </w:pPr>
            <w:r>
              <w:rPr>
                <w:rFonts w:hint="eastAsia" w:ascii="宋体" w:hAnsi="宋体" w:cs="宋体"/>
                <w:color w:val="000000"/>
                <w:kern w:val="0"/>
                <w:szCs w:val="21"/>
                <w:vertAlign w:val="baseline"/>
                <w:lang w:val="en-US" w:eastAsia="zh-CN"/>
              </w:rPr>
              <w:drawing>
                <wp:inline distT="0" distB="0" distL="114300" distR="114300">
                  <wp:extent cx="1638300" cy="1228725"/>
                  <wp:effectExtent l="0" t="0" r="0" b="9525"/>
                  <wp:docPr id="17" name="图片 17" descr="C:/Users/Administrator/AppData/Local/Temp/picturecompress_2021112216020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picturecompress_20211122160208/output_1.jpgoutput_1"/>
                          <pic:cNvPicPr>
                            <a:picLocks noChangeAspect="1"/>
                          </pic:cNvPicPr>
                        </pic:nvPicPr>
                        <pic:blipFill>
                          <a:blip r:embed="rId16"/>
                          <a:stretch>
                            <a:fillRect/>
                          </a:stretch>
                        </pic:blipFill>
                        <pic:spPr>
                          <a:xfrm>
                            <a:off x="0" y="0"/>
                            <a:ext cx="1638300" cy="1228725"/>
                          </a:xfrm>
                          <a:prstGeom prst="rect">
                            <a:avLst/>
                          </a:prstGeom>
                        </pic:spPr>
                      </pic:pic>
                    </a:graphicData>
                  </a:graphic>
                </wp:inline>
              </w:drawing>
            </w:r>
          </w:p>
        </w:tc>
      </w:tr>
    </w:tbl>
    <w:p>
      <w:pPr>
        <w:widowControl/>
        <w:jc w:val="left"/>
        <w:rPr>
          <w:rFonts w:hint="eastAsia" w:ascii="宋体" w:hAnsi="宋体" w:cs="宋体"/>
          <w:color w:val="000000"/>
          <w:kern w:val="0"/>
          <w:szCs w:val="21"/>
          <w:lang w:val="en-US" w:eastAsia="zh-CN"/>
        </w:rPr>
      </w:pPr>
    </w:p>
    <w:p>
      <w:pPr>
        <w:widowControl/>
        <w:jc w:val="left"/>
        <w:rPr>
          <w:rFonts w:hint="eastAsia" w:ascii="宋体" w:hAnsi="宋体" w:cs="宋体"/>
          <w:color w:val="000000"/>
          <w:kern w:val="0"/>
          <w:szCs w:val="21"/>
          <w:lang w:val="en-US" w:eastAsia="zh-CN"/>
        </w:rPr>
      </w:pPr>
    </w:p>
    <w:p>
      <w:pPr>
        <w:spacing w:line="360" w:lineRule="auto"/>
        <w:rPr>
          <w:rFonts w:hint="eastAsia"/>
          <w:b/>
          <w:bCs/>
          <w:sz w:val="21"/>
          <w:szCs w:val="21"/>
          <w:lang w:val="en-US" w:eastAsia="zh-CN"/>
        </w:rPr>
      </w:pPr>
      <w:r>
        <w:rPr>
          <w:rFonts w:hint="eastAsia"/>
          <w:b/>
          <w:bCs/>
          <w:sz w:val="21"/>
          <w:szCs w:val="21"/>
          <w:lang w:val="en-US" w:eastAsia="zh-CN"/>
        </w:rPr>
        <w:t>7.5 标识</w:t>
      </w:r>
    </w:p>
    <w:p>
      <w:pPr>
        <w:widowControl/>
        <w:spacing w:line="360" w:lineRule="auto"/>
        <w:ind w:firstLine="420" w:firstLineChars="200"/>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7.5.1 应在箱体上加贴标识，标识应字迹清晰、持久、易于辨认与实读。</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val="en-US" w:eastAsia="zh-CN"/>
        </w:rPr>
        <w:t xml:space="preserve">7.5.2 </w:t>
      </w:r>
      <w:r>
        <w:rPr>
          <w:rFonts w:hint="eastAsia" w:ascii="宋体" w:hAnsi="宋体" w:cs="宋体"/>
          <w:color w:val="000000"/>
          <w:kern w:val="0"/>
          <w:szCs w:val="21"/>
        </w:rPr>
        <w:t>标识</w:t>
      </w:r>
      <w:r>
        <w:rPr>
          <w:rFonts w:hint="eastAsia" w:ascii="宋体" w:hAnsi="宋体" w:cs="宋体"/>
          <w:color w:val="000000"/>
          <w:kern w:val="0"/>
          <w:szCs w:val="21"/>
          <w:lang w:eastAsia="zh-CN"/>
        </w:rPr>
        <w:t>内容</w:t>
      </w:r>
      <w:r>
        <w:rPr>
          <w:rFonts w:hint="eastAsia" w:ascii="宋体" w:hAnsi="宋体" w:cs="宋体"/>
          <w:color w:val="000000"/>
          <w:kern w:val="0"/>
          <w:szCs w:val="21"/>
        </w:rPr>
        <w:t>应</w:t>
      </w:r>
      <w:r>
        <w:rPr>
          <w:rFonts w:hint="eastAsia" w:ascii="宋体" w:hAnsi="宋体" w:cs="宋体"/>
          <w:color w:val="000000"/>
          <w:kern w:val="0"/>
          <w:szCs w:val="21"/>
          <w:lang w:eastAsia="zh-CN"/>
        </w:rPr>
        <w:t>包括</w:t>
      </w:r>
      <w:r>
        <w:rPr>
          <w:rFonts w:hint="eastAsia" w:ascii="宋体" w:hAnsi="宋体" w:cs="宋体"/>
          <w:color w:val="000000"/>
          <w:kern w:val="0"/>
          <w:szCs w:val="21"/>
        </w:rPr>
        <w:t>产品名称、品种、执行标准、等级、重量（数量）、产地、厂名、</w:t>
      </w:r>
      <w:r>
        <w:rPr>
          <w:rFonts w:hint="eastAsia" w:ascii="宋体" w:hAnsi="宋体" w:cs="宋体"/>
          <w:color w:val="000000"/>
          <w:kern w:val="0"/>
          <w:szCs w:val="21"/>
          <w:lang w:eastAsia="zh-CN"/>
        </w:rPr>
        <w:t>商标、</w:t>
      </w:r>
      <w:r>
        <w:rPr>
          <w:rFonts w:hint="eastAsia" w:ascii="宋体" w:hAnsi="宋体" w:cs="宋体"/>
          <w:color w:val="000000"/>
          <w:kern w:val="0"/>
          <w:szCs w:val="21"/>
        </w:rPr>
        <w:t>厂址、生产日期、保质期等。</w:t>
      </w:r>
    </w:p>
    <w:p>
      <w:pPr>
        <w:widowControl/>
        <w:spacing w:line="360" w:lineRule="auto"/>
        <w:ind w:firstLine="420" w:firstLineChars="200"/>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7.5.3 商品标识应取得相应认证资质，应按照要求使用标识。</w:t>
      </w:r>
    </w:p>
    <w:p>
      <w:pPr>
        <w:widowControl/>
        <w:jc w:val="left"/>
        <w:rPr>
          <w:rFonts w:hint="eastAsia" w:ascii="宋体" w:hAnsi="宋体" w:cs="宋体"/>
          <w:color w:val="000000"/>
          <w:kern w:val="0"/>
          <w:szCs w:val="21"/>
        </w:rPr>
      </w:pPr>
    </w:p>
    <w:p>
      <w:pPr>
        <w:spacing w:line="360" w:lineRule="auto"/>
        <w:rPr>
          <w:rFonts w:hint="eastAsia"/>
          <w:b/>
          <w:bCs/>
          <w:sz w:val="24"/>
          <w:szCs w:val="24"/>
          <w:lang w:val="en-US" w:eastAsia="zh-CN"/>
        </w:rPr>
      </w:pPr>
      <w:r>
        <w:rPr>
          <w:rFonts w:hint="eastAsia"/>
          <w:b/>
          <w:bCs/>
          <w:sz w:val="24"/>
          <w:szCs w:val="24"/>
          <w:lang w:val="en-US" w:eastAsia="zh-CN"/>
        </w:rPr>
        <w:t>8  贮藏</w:t>
      </w:r>
    </w:p>
    <w:p>
      <w:pPr>
        <w:pStyle w:val="154"/>
        <w:spacing w:line="360" w:lineRule="auto"/>
        <w:ind w:left="0" w:leftChars="0" w:firstLine="420" w:firstLineChars="200"/>
      </w:pPr>
      <w:r>
        <w:rPr>
          <w:rFonts w:hint="eastAsia"/>
          <w:lang w:val="en-US" w:eastAsia="zh-CN"/>
        </w:rPr>
        <w:t xml:space="preserve">8.1 </w:t>
      </w:r>
      <w:r>
        <w:rPr>
          <w:rFonts w:hint="eastAsia"/>
        </w:rPr>
        <w:t>临时</w:t>
      </w:r>
      <w:r>
        <w:t>贮藏须在阴凉、</w:t>
      </w:r>
      <w:r>
        <w:rPr>
          <w:rFonts w:hint="eastAsia"/>
        </w:rPr>
        <w:t>通风</w:t>
      </w:r>
      <w:r>
        <w:t>、清洁、卫生条件下，严防暴晒、雨淋、高温、冻害及有毒</w:t>
      </w:r>
      <w:r>
        <w:rPr>
          <w:rFonts w:hint="eastAsia"/>
          <w:lang w:eastAsia="zh-CN"/>
        </w:rPr>
        <w:t>物</w:t>
      </w:r>
      <w:r>
        <w:t>质、病虫害的污染</w:t>
      </w:r>
      <w:r>
        <w:rPr>
          <w:rFonts w:hint="eastAsia"/>
        </w:rPr>
        <w:t>。</w:t>
      </w:r>
      <w:r>
        <w:t>堆码</w:t>
      </w:r>
      <w:r>
        <w:rPr>
          <w:rFonts w:hint="eastAsia"/>
        </w:rPr>
        <w:t>时</w:t>
      </w:r>
      <w:r>
        <w:t>须轻卸、轻装，严防压伤、冻伤。</w:t>
      </w:r>
      <w:r>
        <w:rPr>
          <w:rFonts w:hint="eastAsia"/>
          <w:lang w:eastAsia="zh-CN"/>
        </w:rPr>
        <w:t>番茄应能在最低</w:t>
      </w:r>
      <w:r>
        <w:rPr>
          <w:rFonts w:hint="eastAsia"/>
          <w:lang w:val="en-US" w:eastAsia="zh-CN"/>
        </w:rPr>
        <w:t>18</w:t>
      </w:r>
      <w:r>
        <w:rPr>
          <w:rFonts w:hint="eastAsia"/>
          <w:kern w:val="0"/>
          <w:szCs w:val="21"/>
        </w:rPr>
        <w:t>℃</w:t>
      </w:r>
      <w:r>
        <w:rPr>
          <w:rFonts w:hint="eastAsia"/>
          <w:kern w:val="0"/>
          <w:szCs w:val="21"/>
          <w:lang w:eastAsia="zh-CN"/>
        </w:rPr>
        <w:t>，最高</w:t>
      </w:r>
      <w:r>
        <w:rPr>
          <w:rFonts w:hint="eastAsia"/>
          <w:kern w:val="0"/>
          <w:szCs w:val="21"/>
          <w:lang w:val="en-US" w:eastAsia="zh-CN"/>
        </w:rPr>
        <w:t>25</w:t>
      </w:r>
      <w:r>
        <w:rPr>
          <w:rFonts w:hint="eastAsia"/>
          <w:kern w:val="0"/>
          <w:szCs w:val="21"/>
        </w:rPr>
        <w:t>℃</w:t>
      </w:r>
      <w:r>
        <w:rPr>
          <w:rFonts w:hint="eastAsia"/>
          <w:kern w:val="0"/>
          <w:szCs w:val="21"/>
          <w:lang w:eastAsia="zh-CN"/>
        </w:rPr>
        <w:t>的常温条件下保存至少</w:t>
      </w:r>
      <w:r>
        <w:rPr>
          <w:rFonts w:hint="eastAsia"/>
          <w:kern w:val="0"/>
          <w:szCs w:val="21"/>
          <w:lang w:val="en-US" w:eastAsia="zh-CN"/>
        </w:rPr>
        <w:t>12小时。</w:t>
      </w:r>
    </w:p>
    <w:p>
      <w:pPr>
        <w:pStyle w:val="154"/>
        <w:spacing w:line="360" w:lineRule="auto"/>
        <w:ind w:left="0" w:leftChars="0" w:firstLine="420" w:firstLineChars="200"/>
        <w:rPr>
          <w:rFonts w:hint="eastAsia"/>
        </w:rPr>
      </w:pPr>
      <w:r>
        <w:rPr>
          <w:rFonts w:hint="eastAsia"/>
          <w:lang w:val="en-US" w:eastAsia="zh-CN"/>
        </w:rPr>
        <w:t xml:space="preserve">8.2 </w:t>
      </w:r>
      <w:r>
        <w:rPr>
          <w:rFonts w:hint="eastAsia"/>
          <w:lang w:eastAsia="zh-CN"/>
        </w:rPr>
        <w:t>冷藏情况下，番茄的成熟度越高，适宜温度越低，不同成熟度的番茄适宜冷藏温度为</w:t>
      </w:r>
      <w:r>
        <w:rPr>
          <w:rFonts w:hint="eastAsia"/>
          <w:lang w:val="en-US" w:eastAsia="zh-CN"/>
        </w:rPr>
        <w:t>4-6</w:t>
      </w:r>
      <w:r>
        <w:rPr>
          <w:rFonts w:hint="eastAsia"/>
          <w:kern w:val="0"/>
          <w:szCs w:val="21"/>
        </w:rPr>
        <w:t>℃</w:t>
      </w:r>
      <w:r>
        <w:rPr>
          <w:rFonts w:hint="eastAsia"/>
          <w:kern w:val="0"/>
          <w:szCs w:val="21"/>
          <w:lang w:eastAsia="zh-CN"/>
        </w:rPr>
        <w:t>。</w:t>
      </w:r>
      <w:r>
        <w:t>冷藏</w:t>
      </w:r>
      <w:r>
        <w:rPr>
          <w:rFonts w:hint="eastAsia"/>
          <w:lang w:val="en-US" w:eastAsia="zh-CN"/>
        </w:rPr>
        <w:t>详</w:t>
      </w:r>
      <w:r>
        <w:rPr>
          <w:rFonts w:hint="eastAsia"/>
        </w:rPr>
        <w:t>见GB/T</w:t>
      </w:r>
      <w:r>
        <w:rPr>
          <w:rFonts w:hint="eastAsia"/>
          <w:lang w:val="en-US" w:eastAsia="zh-CN"/>
        </w:rPr>
        <w:t xml:space="preserve"> 2</w:t>
      </w:r>
      <w:r>
        <w:rPr>
          <w:rFonts w:hint="eastAsia"/>
        </w:rPr>
        <w:t>8853。</w:t>
      </w:r>
    </w:p>
    <w:p>
      <w:pPr>
        <w:pStyle w:val="154"/>
        <w:spacing w:line="360" w:lineRule="auto"/>
        <w:ind w:left="0" w:leftChars="0" w:firstLine="0" w:firstLineChars="0"/>
        <w:rPr>
          <w:rFonts w:hint="eastAsia"/>
        </w:rPr>
      </w:pPr>
    </w:p>
    <w:p>
      <w:pPr>
        <w:spacing w:line="360" w:lineRule="auto"/>
        <w:rPr>
          <w:rFonts w:hint="eastAsia" w:ascii="Calibri" w:hAnsi="Calibri"/>
          <w:b/>
          <w:bCs/>
          <w:sz w:val="24"/>
          <w:lang w:val="en-US" w:eastAsia="zh-CN"/>
        </w:rPr>
      </w:pPr>
      <w:r>
        <w:rPr>
          <w:rFonts w:hint="eastAsia"/>
          <w:b/>
          <w:bCs/>
          <w:sz w:val="24"/>
          <w:szCs w:val="24"/>
          <w:lang w:val="en-US" w:eastAsia="zh-CN"/>
        </w:rPr>
        <w:t>9  流通过程要求</w:t>
      </w:r>
    </w:p>
    <w:p>
      <w:pPr>
        <w:pStyle w:val="154"/>
        <w:numPr>
          <w:ilvl w:val="0"/>
          <w:numId w:val="0"/>
        </w:numPr>
        <w:spacing w:line="360" w:lineRule="auto"/>
        <w:ind w:leftChars="0"/>
        <w:rPr>
          <w:rFonts w:hint="default" w:ascii="Calibri" w:hAnsi="Calibri"/>
          <w:b/>
          <w:bCs/>
          <w:sz w:val="21"/>
          <w:szCs w:val="21"/>
          <w:lang w:val="en-US" w:eastAsia="zh-CN"/>
        </w:rPr>
      </w:pPr>
      <w:r>
        <w:rPr>
          <w:rFonts w:hint="eastAsia" w:ascii="Calibri" w:hAnsi="Calibri"/>
          <w:b/>
          <w:bCs/>
          <w:sz w:val="21"/>
          <w:szCs w:val="21"/>
          <w:lang w:val="en-US" w:eastAsia="zh-CN"/>
        </w:rPr>
        <w:t>9.1 产地采购</w:t>
      </w:r>
    </w:p>
    <w:p>
      <w:pPr>
        <w:pStyle w:val="154"/>
        <w:spacing w:line="360" w:lineRule="auto"/>
        <w:ind w:left="0" w:leftChars="0" w:firstLine="420" w:firstLineChars="200"/>
        <w:rPr>
          <w:rFonts w:hint="eastAsia"/>
          <w:lang w:val="en-US" w:eastAsia="zh-CN"/>
        </w:rPr>
      </w:pPr>
      <w:r>
        <w:rPr>
          <w:rFonts w:hint="eastAsia"/>
          <w:lang w:val="en-US" w:eastAsia="zh-CN"/>
        </w:rPr>
        <w:t>9.1.1 采购方宜与基地对接，实行订单采购。</w:t>
      </w:r>
    </w:p>
    <w:p>
      <w:pPr>
        <w:pStyle w:val="154"/>
        <w:spacing w:line="360" w:lineRule="auto"/>
        <w:ind w:left="0" w:leftChars="0" w:firstLine="420" w:firstLineChars="200"/>
        <w:rPr>
          <w:rFonts w:hint="default"/>
          <w:lang w:val="en-US" w:eastAsia="zh-CN"/>
        </w:rPr>
      </w:pPr>
      <w:r>
        <w:rPr>
          <w:rFonts w:hint="eastAsia"/>
          <w:lang w:val="en-US" w:eastAsia="zh-CN"/>
        </w:rPr>
        <w:t>9.1.2 采购方应向番茄提供方（种植基户、种植基地或产地经纪人等）索要产地证明、产品质量合格证明和认证证书等材料备案。产地证明应至少包含产地、数量、品种、采摘日期等。</w:t>
      </w:r>
    </w:p>
    <w:p>
      <w:pPr>
        <w:pStyle w:val="154"/>
        <w:spacing w:line="360" w:lineRule="auto"/>
        <w:ind w:left="0" w:leftChars="0" w:firstLine="420" w:firstLineChars="200"/>
        <w:rPr>
          <w:rFonts w:hint="eastAsia"/>
          <w:lang w:val="en-US" w:eastAsia="zh-CN"/>
        </w:rPr>
      </w:pPr>
      <w:r>
        <w:rPr>
          <w:rFonts w:hint="eastAsia"/>
          <w:lang w:val="en-US" w:eastAsia="zh-CN"/>
        </w:rPr>
        <w:t>9.1.3 采购的番茄应符合第4章的规定，按第5章、第6章的规定进行分级、包装和标识。</w:t>
      </w:r>
    </w:p>
    <w:p>
      <w:pPr>
        <w:pStyle w:val="154"/>
        <w:spacing w:line="360" w:lineRule="auto"/>
        <w:ind w:left="0" w:leftChars="0" w:firstLine="420" w:firstLineChars="200"/>
        <w:rPr>
          <w:rFonts w:hint="eastAsia"/>
          <w:lang w:val="en-US" w:eastAsia="zh-CN"/>
        </w:rPr>
      </w:pPr>
      <w:r>
        <w:rPr>
          <w:rFonts w:hint="eastAsia"/>
          <w:lang w:val="en-US" w:eastAsia="zh-CN"/>
        </w:rPr>
        <w:t>9.1.4 采购方应做好进货记录，对每批番茄的提供方、进货时间、品种、数量、等级、产地、采购和包装日期进行记录。</w:t>
      </w:r>
    </w:p>
    <w:p>
      <w:pPr>
        <w:pStyle w:val="154"/>
        <w:spacing w:line="360" w:lineRule="auto"/>
        <w:ind w:left="0" w:leftChars="0" w:firstLine="420" w:firstLineChars="200"/>
        <w:rPr>
          <w:rFonts w:hint="eastAsia"/>
          <w:lang w:val="en-US" w:eastAsia="zh-CN"/>
        </w:rPr>
      </w:pPr>
      <w:r>
        <w:rPr>
          <w:rFonts w:hint="eastAsia"/>
          <w:lang w:val="en-US" w:eastAsia="zh-CN"/>
        </w:rPr>
        <w:t>9.1.5 采购的番茄宜及时运走，不能及时运走的番茄应在适宜的温度（4-6</w:t>
      </w:r>
      <w:r>
        <w:rPr>
          <w:rFonts w:hint="eastAsia"/>
          <w:kern w:val="0"/>
          <w:szCs w:val="21"/>
        </w:rPr>
        <w:t>℃</w:t>
      </w:r>
      <w:r>
        <w:rPr>
          <w:rFonts w:hint="eastAsia"/>
          <w:kern w:val="0"/>
          <w:szCs w:val="21"/>
          <w:lang w:eastAsia="zh-CN"/>
        </w:rPr>
        <w:t>）</w:t>
      </w:r>
      <w:r>
        <w:rPr>
          <w:rFonts w:hint="eastAsia"/>
          <w:kern w:val="0"/>
          <w:szCs w:val="21"/>
          <w:lang w:val="en-US" w:eastAsia="zh-CN"/>
        </w:rPr>
        <w:t>和湿度（相对湿度85%-90%）条件下暂存</w:t>
      </w:r>
      <w:r>
        <w:rPr>
          <w:rFonts w:hint="eastAsia"/>
          <w:lang w:val="en-US" w:eastAsia="zh-CN"/>
        </w:rPr>
        <w:t>。</w:t>
      </w:r>
    </w:p>
    <w:p>
      <w:pPr>
        <w:pStyle w:val="154"/>
        <w:ind w:left="0" w:leftChars="0" w:firstLine="0" w:firstLineChars="0"/>
        <w:rPr>
          <w:rFonts w:hint="eastAsia"/>
          <w:lang w:val="en-US" w:eastAsia="zh-CN"/>
        </w:rPr>
      </w:pPr>
    </w:p>
    <w:p>
      <w:pPr>
        <w:pStyle w:val="154"/>
        <w:numPr>
          <w:ilvl w:val="0"/>
          <w:numId w:val="0"/>
        </w:numPr>
        <w:spacing w:line="360" w:lineRule="auto"/>
        <w:ind w:leftChars="0"/>
        <w:rPr>
          <w:rFonts w:hint="eastAsia" w:ascii="Calibri" w:hAnsi="Calibri"/>
          <w:b/>
          <w:bCs/>
          <w:sz w:val="21"/>
          <w:szCs w:val="21"/>
          <w:lang w:val="en-US" w:eastAsia="zh-CN"/>
        </w:rPr>
      </w:pPr>
      <w:r>
        <w:rPr>
          <w:rFonts w:hint="eastAsia" w:ascii="Calibri" w:hAnsi="Calibri"/>
          <w:b/>
          <w:bCs/>
          <w:sz w:val="21"/>
          <w:szCs w:val="21"/>
          <w:lang w:val="en-US" w:eastAsia="zh-CN"/>
        </w:rPr>
        <w:t>9.2 运输</w:t>
      </w:r>
    </w:p>
    <w:p>
      <w:pPr>
        <w:pStyle w:val="154"/>
        <w:spacing w:line="360" w:lineRule="auto"/>
        <w:ind w:left="0" w:leftChars="0" w:firstLine="420" w:firstLineChars="200"/>
        <w:rPr>
          <w:rFonts w:hint="eastAsia"/>
          <w:lang w:val="en-US" w:eastAsia="zh-CN"/>
        </w:rPr>
      </w:pPr>
      <w:r>
        <w:rPr>
          <w:rFonts w:hint="eastAsia"/>
          <w:lang w:val="en-US" w:eastAsia="zh-CN"/>
        </w:rPr>
        <w:t>9.2.1 运输工具应清洁、卫生、无污染、无杂物、具有防晒、防雨、通风和控温设施，可采用保温车、冷藏车等控温运输工具。</w:t>
      </w:r>
    </w:p>
    <w:p>
      <w:pPr>
        <w:pStyle w:val="154"/>
        <w:spacing w:line="360" w:lineRule="auto"/>
        <w:ind w:left="0" w:leftChars="0" w:firstLine="420" w:firstLineChars="200"/>
        <w:rPr>
          <w:rFonts w:hint="eastAsia"/>
          <w:lang w:val="en-US" w:eastAsia="zh-CN"/>
        </w:rPr>
      </w:pPr>
      <w:r>
        <w:rPr>
          <w:rFonts w:hint="eastAsia"/>
          <w:lang w:val="en-US" w:eastAsia="zh-CN"/>
        </w:rPr>
        <w:t>9.2.2 装载时应确保包装箱顺序摆放，防挤压，运输中应稳固装载，留通风空隙。不得与有毒有害物质混匀。</w:t>
      </w:r>
    </w:p>
    <w:p>
      <w:pPr>
        <w:pStyle w:val="154"/>
        <w:spacing w:line="360" w:lineRule="auto"/>
        <w:ind w:left="0" w:leftChars="0" w:firstLine="420" w:firstLineChars="200"/>
        <w:rPr>
          <w:rFonts w:hint="eastAsia"/>
          <w:lang w:val="en-US" w:eastAsia="zh-CN"/>
        </w:rPr>
      </w:pPr>
      <w:r>
        <w:rPr>
          <w:rFonts w:hint="eastAsia"/>
          <w:lang w:val="en-US" w:eastAsia="zh-CN"/>
        </w:rPr>
        <w:t>9.2.3 装载时应轻搬轻放，严防机械损伤。</w:t>
      </w:r>
    </w:p>
    <w:p>
      <w:pPr>
        <w:pStyle w:val="154"/>
        <w:spacing w:line="360" w:lineRule="auto"/>
        <w:ind w:left="0" w:leftChars="0" w:firstLine="420" w:firstLineChars="200"/>
        <w:rPr>
          <w:rFonts w:hint="eastAsia"/>
          <w:lang w:val="en-US" w:eastAsia="zh-CN"/>
        </w:rPr>
      </w:pPr>
      <w:r>
        <w:rPr>
          <w:rFonts w:hint="eastAsia"/>
          <w:lang w:val="en-US" w:eastAsia="zh-CN"/>
        </w:rPr>
        <w:t>9.2.4 运输过程中的温度需根据运输车辆，以及运输时间和产品的成熟度来确定，在不损害番茄品质的情况下，采取保温措施，防止温度波动过大。</w:t>
      </w:r>
    </w:p>
    <w:p>
      <w:pPr>
        <w:pStyle w:val="154"/>
        <w:spacing w:line="360" w:lineRule="auto"/>
        <w:ind w:left="0" w:leftChars="0" w:firstLine="420" w:firstLineChars="200"/>
        <w:rPr>
          <w:rFonts w:hint="eastAsia"/>
          <w:lang w:val="en-US" w:eastAsia="zh-CN"/>
        </w:rPr>
      </w:pPr>
      <w:r>
        <w:rPr>
          <w:rFonts w:hint="eastAsia"/>
          <w:lang w:val="en-US" w:eastAsia="zh-CN"/>
        </w:rPr>
        <w:t>9.2.5 应做到物、证相符，保留相关票据备案。</w:t>
      </w:r>
    </w:p>
    <w:p>
      <w:pPr>
        <w:pStyle w:val="154"/>
        <w:numPr>
          <w:ilvl w:val="0"/>
          <w:numId w:val="0"/>
        </w:numPr>
        <w:spacing w:line="360" w:lineRule="auto"/>
        <w:ind w:leftChars="0"/>
        <w:rPr>
          <w:rFonts w:hint="eastAsia" w:ascii="Calibri" w:hAnsi="Calibri"/>
          <w:b/>
          <w:bCs/>
          <w:sz w:val="24"/>
          <w:lang w:val="en-US" w:eastAsia="zh-CN"/>
        </w:rPr>
      </w:pPr>
      <w:r>
        <w:rPr>
          <w:rFonts w:hint="eastAsia" w:ascii="Calibri" w:hAnsi="Calibri"/>
          <w:b/>
          <w:bCs/>
          <w:sz w:val="21"/>
          <w:szCs w:val="21"/>
          <w:lang w:val="en-US" w:eastAsia="zh-CN"/>
        </w:rPr>
        <w:t>9.3 批发</w:t>
      </w:r>
    </w:p>
    <w:p>
      <w:pPr>
        <w:pStyle w:val="154"/>
        <w:spacing w:line="360" w:lineRule="auto"/>
        <w:ind w:left="0" w:leftChars="0" w:firstLine="420" w:firstLineChars="200"/>
        <w:rPr>
          <w:rFonts w:hint="eastAsia"/>
          <w:lang w:val="en-US" w:eastAsia="zh-CN"/>
        </w:rPr>
      </w:pPr>
      <w:r>
        <w:rPr>
          <w:rFonts w:hint="eastAsia"/>
          <w:lang w:val="en-US" w:eastAsia="zh-CN"/>
        </w:rPr>
        <w:t>9.3.1 批发商应建立购销台账，如实记录番茄提供者、名称、产地、等级、进货时间、交易时间、价格、数量等内容，应如实记录双方的姓名及联系方式等。</w:t>
      </w:r>
    </w:p>
    <w:p>
      <w:pPr>
        <w:pStyle w:val="154"/>
        <w:spacing w:line="360" w:lineRule="auto"/>
        <w:ind w:left="0" w:leftChars="0" w:firstLine="420" w:firstLineChars="200"/>
        <w:rPr>
          <w:rFonts w:hint="eastAsia"/>
          <w:lang w:val="en-US" w:eastAsia="zh-CN"/>
        </w:rPr>
      </w:pPr>
      <w:r>
        <w:rPr>
          <w:rFonts w:hint="eastAsia"/>
          <w:lang w:val="en-US" w:eastAsia="zh-CN"/>
        </w:rPr>
        <w:t>9.3.2 批发商应向采购方提供产地证明、质量检验合格证明和购销票证等，购销票证应包含：批发商姓名、采购方姓名、名称、产地、等级、成交量、成交价格、成交时间等。</w:t>
      </w:r>
    </w:p>
    <w:p>
      <w:pPr>
        <w:pStyle w:val="154"/>
        <w:spacing w:line="360" w:lineRule="auto"/>
        <w:ind w:left="0" w:leftChars="0" w:firstLine="420" w:firstLineChars="200"/>
        <w:rPr>
          <w:rFonts w:hint="eastAsia"/>
          <w:lang w:val="en-US" w:eastAsia="zh-CN"/>
        </w:rPr>
      </w:pPr>
      <w:r>
        <w:rPr>
          <w:rFonts w:hint="eastAsia"/>
          <w:lang w:val="en-US" w:eastAsia="zh-CN"/>
        </w:rPr>
        <w:t>9.3.3 批发商应加强整个销售过程的记录，对每批番茄的产地证明、检验报告、购销票证等文件进行管理和保存，一般应保存1年，建立农产品安全追溯制度。</w:t>
      </w:r>
    </w:p>
    <w:p>
      <w:pPr>
        <w:pStyle w:val="154"/>
        <w:spacing w:line="360" w:lineRule="auto"/>
        <w:ind w:left="0" w:leftChars="0" w:firstLine="420" w:firstLineChars="200"/>
        <w:rPr>
          <w:rFonts w:hint="eastAsia"/>
          <w:lang w:val="en-US" w:eastAsia="zh-CN"/>
        </w:rPr>
      </w:pPr>
      <w:r>
        <w:rPr>
          <w:rFonts w:hint="eastAsia"/>
          <w:lang w:val="en-US" w:eastAsia="zh-CN"/>
        </w:rPr>
        <w:t>9.3.4 对于包装破损的番茄，应查明原因，确认无安全危害时，才能上市销售；对于认定不合格的番茄，应按照国家有关规定做好下架、退市、销毁等处理。</w:t>
      </w:r>
    </w:p>
    <w:p>
      <w:pPr>
        <w:pStyle w:val="154"/>
        <w:spacing w:line="360" w:lineRule="auto"/>
        <w:ind w:left="0" w:leftChars="0" w:firstLine="420" w:firstLineChars="200"/>
        <w:rPr>
          <w:rFonts w:hint="eastAsia"/>
          <w:lang w:val="en-US" w:eastAsia="zh-CN"/>
        </w:rPr>
      </w:pPr>
      <w:r>
        <w:rPr>
          <w:rFonts w:hint="eastAsia"/>
          <w:lang w:val="en-US" w:eastAsia="zh-CN"/>
        </w:rPr>
        <w:t>9.3.5 批发过程应保持适宜的温度、湿度（参照8.1.5条），并快速销售。</w:t>
      </w:r>
    </w:p>
    <w:p>
      <w:pPr>
        <w:pStyle w:val="154"/>
        <w:spacing w:line="360" w:lineRule="auto"/>
        <w:ind w:left="0" w:leftChars="0" w:firstLine="0" w:firstLineChars="0"/>
        <w:rPr>
          <w:rFonts w:hint="eastAsia"/>
          <w:lang w:val="en-US" w:eastAsia="zh-CN"/>
        </w:rPr>
      </w:pPr>
    </w:p>
    <w:p>
      <w:pPr>
        <w:pStyle w:val="107"/>
        <w:spacing w:before="312" w:after="312"/>
      </w:pPr>
      <w:r>
        <w:t>_________________________________</w:t>
      </w:r>
    </w:p>
    <w:p>
      <w:pPr>
        <w:pStyle w:val="154"/>
        <w:spacing w:line="360" w:lineRule="auto"/>
        <w:ind w:left="0" w:leftChars="0" w:firstLine="0" w:firstLineChars="0"/>
        <w:rPr>
          <w:rFonts w:hint="eastAsia"/>
          <w:lang w:val="en-US" w:eastAsia="zh-CN"/>
        </w:rPr>
      </w:pPr>
    </w:p>
    <w:p>
      <w:pPr>
        <w:tabs>
          <w:tab w:val="left" w:pos="5970"/>
        </w:tabs>
        <w:rPr>
          <w:rFonts w:hint="eastAsia"/>
          <w:lang w:val="en-US" w:eastAsia="zh-CN" w:bidi="zh-TW"/>
        </w:rPr>
      </w:pPr>
      <w:bookmarkStart w:id="5" w:name="_GoBack"/>
      <w:bookmarkEnd w:id="5"/>
    </w:p>
    <w:sectPr>
      <w:footerReference r:id="rId8" w:type="default"/>
      <w:footerReference r:id="rId9"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right="198" w:rightChars="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ge">
                <wp:posOffset>10074275</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spacing w:before="120"/>
                            <w:ind w:right="198" w:rightChars="0"/>
                          </w:pPr>
                          <w:r>
                            <w:fldChar w:fldCharType="begin"/>
                          </w:r>
                          <w:r>
                            <w:instrText xml:space="preserve">PAGE   \* MERGEFORMAT</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793.25pt;height:144pt;width:144pt;mso-position-horizontal:right;mso-position-horizontal-relative:margin;mso-position-vertical-relative:page;mso-wrap-style:none;z-index:251659264;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OR1QAAAAoBAAAPAAAAAAAAAAEAIAAAACIAAABkcnMv&#10;ZG93bnJldi54bWxQSwECFAAUAAAACACHTuJAhx5Ebs0BAACnAwAADgAAAAAAAAABACAAAAAkAQAA&#10;ZHJzL2Uyb0RvYy54bWxQSwUGAAAAAAYABgBZAQAAYwUAAAAA&#10;">
              <v:fill on="f" focussize="0,0"/>
              <v:stroke on="f"/>
              <v:imagedata o:title=""/>
              <o:lock v:ext="edit" aspectratio="f"/>
              <v:textbox inset="0mm,0mm,0mm,0mm" style="mso-fit-shape-to-text:t;">
                <w:txbxContent>
                  <w:p>
                    <w:pPr>
                      <w:pStyle w:val="18"/>
                      <w:spacing w:before="120"/>
                      <w:ind w:right="198" w:rightChars="0"/>
                    </w:pPr>
                    <w:r>
                      <w:fldChar w:fldCharType="begin"/>
                    </w:r>
                    <w:r>
                      <w:instrText xml:space="preserve">PAGE   \* MERGEFORMAT</w:instrText>
                    </w:r>
                    <w:r>
                      <w:fldChar w:fldCharType="separate"/>
                    </w:r>
                    <w:r>
                      <w:rPr>
                        <w:lang w:val="zh-CN"/>
                      </w:rPr>
                      <w:t>5</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left="198" w:right="0" w:rightChars="0"/>
      <w:jc w:val="lef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ge">
                <wp:posOffset>10074275</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793.25pt;height:144pt;width:144pt;mso-position-horizontal:right;mso-position-horizontal-relative:margin;mso-position-vertical-relative:page;mso-wrap-style:none;z-index:251660288;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n/45HVAAAACgEAAA8AAAAAAAAAAQAgAAAAIgAAAGRycy9k&#10;b3ducmV2LnhtbFBLAQIUABQAAAAIAIdO4kArwG0/zAEAAKcDAAAOAAAAAAAAAAEAIAAAACQ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10074275</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793.25pt;height:144pt;width:144pt;mso-position-horizontal:right;mso-position-horizontal-relative:margin;mso-position-vertical-relative:page;mso-wrap-style:none;z-index:251661312;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OR1QAAAAoBAAAPAAAAAAAAAAEAIAAAACIAAABkcnMv&#10;ZG93bnJldi54bWxQSwECFAAUAAAACACHTuJA+3dA+c0BAACnAwAADgAAAAAAAAABACAAAAAkAQAA&#10;ZHJzL2Uyb0RvYy54bWxQSwUGAAAAAAYABgBZAQAAY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ge">
                <wp:posOffset>10074275</wp:posOffset>
              </wp:positionV>
              <wp:extent cx="36830" cy="9144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36830" cy="91440"/>
                      </a:xfrm>
                      <a:prstGeom prst="rect">
                        <a:avLst/>
                      </a:prstGeom>
                      <a:noFill/>
                      <a:ln>
                        <a:noFill/>
                      </a:ln>
                      <a:effectLst/>
                    </wps:spPr>
                    <wps:txbx>
                      <w:txbxContent>
                        <w:p>
                          <w:pPr>
                            <w:pStyle w:val="156"/>
                            <w:rPr>
                              <w:sz w:val="19"/>
                              <w:szCs w:val="19"/>
                            </w:rPr>
                          </w:pPr>
                          <w:r>
                            <w:fldChar w:fldCharType="begin"/>
                          </w:r>
                          <w:r>
                            <w:instrText xml:space="preserve"> PAGE \* MERGEFORMAT </w:instrText>
                          </w:r>
                          <w:r>
                            <w:fldChar w:fldCharType="separate"/>
                          </w:r>
                          <w:r>
                            <w:rPr>
                              <w:rFonts w:eastAsia="Times New Roman"/>
                              <w:color w:val="000000"/>
                              <w:sz w:val="19"/>
                              <w:szCs w:val="19"/>
                              <w:lang w:val="zh-TW" w:eastAsia="zh-TW" w:bidi="zh-TW"/>
                            </w:rPr>
                            <w:t>3</w:t>
                          </w:r>
                          <w:r>
                            <w:rPr>
                              <w:sz w:val="19"/>
                              <w:szCs w:val="19"/>
                              <w:lang w:val="zh-TW" w:eastAsia="zh-TW" w:bidi="zh-TW"/>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793.25pt;height:7.2pt;width:2.9pt;mso-position-horizontal:right;mso-position-horizontal-relative:margin;mso-position-vertical-relative:page;mso-wrap-style:none;z-index:251665408;mso-width-relative:page;mso-height-relative:page;" filled="f" stroked="f" coordsize="21600,21600" o:gfxdata="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Pzh1NMAAAAIAQAADwAAAAAAAAABACAAAAAiAAAAZHJzL2Rvd25y&#10;ZXYueG1sUEsBAhQAFAAAAAgAh07iQGfVI7HKAQAAmQMAAA4AAAAAAAAAAQAgAAAAIgEAAGRycy9l&#10;Mm9Eb2MueG1sUEsFBgAAAAAGAAYAWQEAAF4FAAAAAA==&#10;">
              <v:fill on="f" focussize="0,0"/>
              <v:stroke on="f"/>
              <v:imagedata o:title=""/>
              <o:lock v:ext="edit" aspectratio="f"/>
              <v:textbox inset="0mm,0mm,0mm,0mm" style="mso-fit-shape-to-text:t;">
                <w:txbxContent>
                  <w:p>
                    <w:pPr>
                      <w:pStyle w:val="156"/>
                      <w:rPr>
                        <w:sz w:val="19"/>
                        <w:szCs w:val="19"/>
                      </w:rPr>
                    </w:pPr>
                    <w:r>
                      <w:fldChar w:fldCharType="begin"/>
                    </w:r>
                    <w:r>
                      <w:instrText xml:space="preserve"> PAGE \* MERGEFORMAT </w:instrText>
                    </w:r>
                    <w:r>
                      <w:fldChar w:fldCharType="separate"/>
                    </w:r>
                    <w:r>
                      <w:rPr>
                        <w:rFonts w:eastAsia="Times New Roman"/>
                        <w:color w:val="000000"/>
                        <w:sz w:val="19"/>
                        <w:szCs w:val="19"/>
                        <w:lang w:val="zh-TW" w:eastAsia="zh-TW" w:bidi="zh-TW"/>
                      </w:rPr>
                      <w:t>3</w:t>
                    </w:r>
                    <w:r>
                      <w:rPr>
                        <w:sz w:val="19"/>
                        <w:szCs w:val="19"/>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left="198" w:right="0" w:rightChars="0"/>
      <w:jc w:val="left"/>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ge">
                <wp:posOffset>10074275</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793.25pt;height:144pt;width:144pt;mso-position-horizontal:right;mso-position-horizontal-relative:margin;mso-position-vertical-relative:page;mso-wrap-style:none;z-index:251666432;mso-width-relative:page;mso-height-relative:page;" filled="f" stroked="f" coordsize="21600,21600" o:gfxdata="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OR1QAAAAoBAAAPAAAAAAAAAAEAIAAAACIAAABkcnMv&#10;ZG93bnJldi54bWxQSwECFAAUAAAACACHTuJA/SrgBs0BAACoAwAADgAAAAAAAAABACAAAAAkAQAA&#10;ZHJzL2Uyb0RvYy54bWxQSwUGAAAAAAYABgBZAQAAY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284"/>
      <w:ind w:right="105"/>
      <w:jc w:val="both"/>
      <w:rPr>
        <w:rFonts w:hint="eastAsia" w:ascii="黑体" w:hAnsi="黑体" w:eastAsia="黑体"/>
        <w:color w:val="000000" w:themeColor="text1"/>
        <w:sz w:val="21"/>
        <w:szCs w:val="21"/>
        <w:highlight w:val="yellow"/>
        <w:lang w:eastAsia="zh-CN"/>
        <w14:textFill>
          <w14:solidFill>
            <w14:schemeClr w14:val="tx1"/>
          </w14:solidFill>
        </w14:textFill>
      </w:rPr>
    </w:pPr>
    <w:r>
      <w:rPr>
        <w:rFonts w:ascii="黑体" w:hAnsi="黑体" w:eastAsia="黑体"/>
        <w:kern w:val="0"/>
        <w:szCs w:val="20"/>
      </w:rPr>
      <w:t>T/</w:t>
    </w:r>
    <w:r>
      <w:rPr>
        <w:rFonts w:hint="eastAsia" w:ascii="黑体" w:hAnsi="黑体" w:eastAsia="黑体"/>
        <w:kern w:val="0"/>
        <w:szCs w:val="20"/>
      </w:rPr>
      <w:t xml:space="preserve">SZS </w:t>
    </w:r>
    <w:r>
      <w:rPr>
        <w:rFonts w:hint="eastAsia" w:ascii="黑体" w:hAnsi="黑体" w:eastAsia="黑体"/>
        <w:kern w:val="0"/>
        <w:szCs w:val="20"/>
        <w:lang w:val="en-US" w:eastAsia="zh-CN"/>
      </w:rPr>
      <w:t>XXXX</w:t>
    </w:r>
    <w:r>
      <w:rPr>
        <w:rFonts w:hint="eastAsia" w:ascii="黑体" w:hAnsi="黑体" w:eastAsia="黑体"/>
        <w:kern w:val="0"/>
        <w:szCs w:val="20"/>
      </w:rPr>
      <w:t>-</w:t>
    </w:r>
    <w:r>
      <w:rPr>
        <w:rFonts w:ascii="黑体" w:hAnsi="黑体" w:eastAsia="黑体"/>
        <w:kern w:val="0"/>
        <w:szCs w:val="20"/>
      </w:rPr>
      <w:t>202</w:t>
    </w:r>
    <w:r>
      <w:rPr>
        <w:rFonts w:hint="eastAsia" w:ascii="黑体" w:hAnsi="黑体" w:eastAsia="黑体"/>
        <w:kern w:val="0"/>
        <w:szCs w:val="20"/>
        <w:lang w:val="en-US" w:eastAsia="zh-CN"/>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284"/>
      <w:ind w:right="105"/>
      <w:jc w:val="right"/>
      <w:rPr>
        <w:rFonts w:hint="eastAsia" w:ascii="黑体" w:hAnsi="黑体" w:eastAsia="黑体"/>
        <w:kern w:val="0"/>
        <w:szCs w:val="20"/>
        <w:lang w:eastAsia="zh-CN"/>
      </w:rPr>
    </w:pPr>
    <w:r>
      <w:rPr>
        <w:rFonts w:ascii="黑体" w:hAnsi="黑体" w:eastAsia="黑体"/>
        <w:kern w:val="0"/>
        <w:szCs w:val="20"/>
      </w:rPr>
      <w:t>T/</w:t>
    </w:r>
    <w:r>
      <w:rPr>
        <w:rFonts w:hint="eastAsia" w:ascii="黑体" w:hAnsi="黑体" w:eastAsia="黑体"/>
        <w:kern w:val="0"/>
        <w:szCs w:val="20"/>
      </w:rPr>
      <w:t xml:space="preserve">SZS </w:t>
    </w:r>
    <w:r>
      <w:rPr>
        <w:rFonts w:hint="eastAsia" w:ascii="黑体" w:hAnsi="黑体" w:eastAsia="黑体"/>
        <w:kern w:val="0"/>
        <w:szCs w:val="20"/>
        <w:lang w:val="en-US" w:eastAsia="zh-CN"/>
      </w:rPr>
      <w:t>XXXX</w:t>
    </w:r>
    <w:r>
      <w:rPr>
        <w:rFonts w:hint="eastAsia" w:ascii="黑体" w:hAnsi="黑体" w:eastAsia="黑体"/>
        <w:kern w:val="0"/>
        <w:szCs w:val="20"/>
      </w:rPr>
      <w:t>-</w:t>
    </w:r>
    <w:r>
      <w:rPr>
        <w:rFonts w:ascii="黑体" w:hAnsi="黑体" w:eastAsia="黑体"/>
        <w:kern w:val="0"/>
        <w:szCs w:val="20"/>
      </w:rPr>
      <w:t>202</w:t>
    </w:r>
    <w:r>
      <w:rPr>
        <w:rFonts w:hint="eastAsia" w:ascii="黑体" w:hAnsi="黑体" w:eastAsia="黑体"/>
        <w:kern w:val="0"/>
        <w:szCs w:val="20"/>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0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1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5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7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tentative="0">
      <w:start w:val="1"/>
      <w:numFmt w:val="decimal"/>
      <w:pStyle w:val="9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827D5B"/>
    <w:multiLevelType w:val="multilevel"/>
    <w:tmpl w:val="22827D5B"/>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7">
    <w:nsid w:val="2A8F7113"/>
    <w:multiLevelType w:val="multilevel"/>
    <w:tmpl w:val="2A8F7113"/>
    <w:lvl w:ilvl="0" w:tentative="0">
      <w:start w:val="1"/>
      <w:numFmt w:val="upperLetter"/>
      <w:pStyle w:val="126"/>
      <w:suff w:val="space"/>
      <w:lvlText w:val="%1"/>
      <w:lvlJc w:val="left"/>
      <w:pPr>
        <w:ind w:left="623" w:hanging="425"/>
      </w:pPr>
      <w:rPr>
        <w:rFonts w:hint="eastAsia"/>
      </w:rPr>
    </w:lvl>
    <w:lvl w:ilvl="1" w:tentative="0">
      <w:start w:val="1"/>
      <w:numFmt w:val="decimal"/>
      <w:pStyle w:val="12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41"/>
      <w:suff w:val="nothing"/>
      <w:lvlText w:val="%1——"/>
      <w:lvlJc w:val="left"/>
      <w:pPr>
        <w:ind w:left="833" w:hanging="408"/>
      </w:pPr>
      <w:rPr>
        <w:rFonts w:hint="eastAsia"/>
        <w:lang w:val="en-US"/>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1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8496C3C"/>
    <w:multiLevelType w:val="multilevel"/>
    <w:tmpl w:val="48496C3C"/>
    <w:lvl w:ilvl="0" w:tentative="0">
      <w:start w:val="1"/>
      <w:numFmt w:val="decimal"/>
      <w:pStyle w:val="13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4B733A5F"/>
    <w:multiLevelType w:val="multilevel"/>
    <w:tmpl w:val="4B733A5F"/>
    <w:lvl w:ilvl="0" w:tentative="0">
      <w:start w:val="1"/>
      <w:numFmt w:val="decimal"/>
      <w:pStyle w:val="9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7AC17A3"/>
    <w:multiLevelType w:val="multilevel"/>
    <w:tmpl w:val="57AC17A3"/>
    <w:lvl w:ilvl="0" w:tentative="0">
      <w:start w:val="1"/>
      <w:numFmt w:val="lowerLetter"/>
      <w:pStyle w:val="9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109"/>
      <w:lvlText w:val="%1"/>
      <w:lvlJc w:val="left"/>
      <w:pPr>
        <w:tabs>
          <w:tab w:val="left" w:pos="0"/>
        </w:tabs>
        <w:ind w:left="0" w:hanging="425"/>
      </w:pPr>
      <w:rPr>
        <w:rFonts w:hint="eastAsia"/>
      </w:rPr>
    </w:lvl>
    <w:lvl w:ilvl="1" w:tentative="0">
      <w:start w:val="1"/>
      <w:numFmt w:val="decimal"/>
      <w:pStyle w:val="12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1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C3B66E8"/>
    <w:multiLevelType w:val="multilevel"/>
    <w:tmpl w:val="6C3B66E8"/>
    <w:lvl w:ilvl="0" w:tentative="0">
      <w:start w:val="4"/>
      <w:numFmt w:val="decimal"/>
      <w:lvlText w:val="%1"/>
      <w:lvlJc w:val="left"/>
      <w:pPr>
        <w:ind w:left="360" w:hanging="360"/>
      </w:pPr>
      <w:rPr>
        <w:rFonts w:hint="default"/>
      </w:rPr>
    </w:lvl>
    <w:lvl w:ilvl="1" w:tentative="0">
      <w:start w:val="1"/>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7">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7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64"/>
      <w:suff w:val="nothing"/>
      <w:lvlText w:val="%1注："/>
      <w:lvlJc w:val="left"/>
      <w:pPr>
        <w:ind w:left="1072"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5"/>
  </w:num>
  <w:num w:numId="3">
    <w:abstractNumId w:val="3"/>
  </w:num>
  <w:num w:numId="4">
    <w:abstractNumId w:val="8"/>
  </w:num>
  <w:num w:numId="5">
    <w:abstractNumId w:val="6"/>
  </w:num>
  <w:num w:numId="6">
    <w:abstractNumId w:val="18"/>
  </w:num>
  <w:num w:numId="7">
    <w:abstractNumId w:val="17"/>
  </w:num>
  <w:num w:numId="8">
    <w:abstractNumId w:val="4"/>
  </w:num>
  <w:num w:numId="9">
    <w:abstractNumId w:val="12"/>
  </w:num>
  <w:num w:numId="10">
    <w:abstractNumId w:val="5"/>
  </w:num>
  <w:num w:numId="11">
    <w:abstractNumId w:val="11"/>
  </w:num>
  <w:num w:numId="12">
    <w:abstractNumId w:val="0"/>
  </w:num>
  <w:num w:numId="13">
    <w:abstractNumId w:val="1"/>
  </w:num>
  <w:num w:numId="14">
    <w:abstractNumId w:val="13"/>
  </w:num>
  <w:num w:numId="15">
    <w:abstractNumId w:val="2"/>
  </w:num>
  <w:num w:numId="16">
    <w:abstractNumId w:val="14"/>
  </w:num>
  <w:num w:numId="17">
    <w:abstractNumId w:val="7"/>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YTlmNDVhMzA3Y2JkNzg2ZDliNzUwMDkxMDA1NTUifQ=="/>
  </w:docVars>
  <w:rsids>
    <w:rsidRoot w:val="00AC577E"/>
    <w:rsid w:val="00000244"/>
    <w:rsid w:val="000011B6"/>
    <w:rsid w:val="0000185F"/>
    <w:rsid w:val="00003588"/>
    <w:rsid w:val="0000586F"/>
    <w:rsid w:val="00005AEB"/>
    <w:rsid w:val="000062A4"/>
    <w:rsid w:val="00011E58"/>
    <w:rsid w:val="00013D86"/>
    <w:rsid w:val="00013E02"/>
    <w:rsid w:val="000164E5"/>
    <w:rsid w:val="0002143C"/>
    <w:rsid w:val="000232EB"/>
    <w:rsid w:val="00025A65"/>
    <w:rsid w:val="000267F9"/>
    <w:rsid w:val="00026BF5"/>
    <w:rsid w:val="00026C31"/>
    <w:rsid w:val="00027280"/>
    <w:rsid w:val="00030407"/>
    <w:rsid w:val="000320A7"/>
    <w:rsid w:val="00035925"/>
    <w:rsid w:val="0004111E"/>
    <w:rsid w:val="00050B02"/>
    <w:rsid w:val="000511D3"/>
    <w:rsid w:val="0005342E"/>
    <w:rsid w:val="00056881"/>
    <w:rsid w:val="00056989"/>
    <w:rsid w:val="00056DAE"/>
    <w:rsid w:val="00060C85"/>
    <w:rsid w:val="000619B1"/>
    <w:rsid w:val="00065925"/>
    <w:rsid w:val="00067C73"/>
    <w:rsid w:val="00067CDF"/>
    <w:rsid w:val="00070AE6"/>
    <w:rsid w:val="00070DF8"/>
    <w:rsid w:val="00071FBC"/>
    <w:rsid w:val="00072FE9"/>
    <w:rsid w:val="00074C97"/>
    <w:rsid w:val="00074FBE"/>
    <w:rsid w:val="00077DDF"/>
    <w:rsid w:val="00080735"/>
    <w:rsid w:val="00081C26"/>
    <w:rsid w:val="00083A09"/>
    <w:rsid w:val="0009005E"/>
    <w:rsid w:val="00092857"/>
    <w:rsid w:val="00094A5D"/>
    <w:rsid w:val="00094C98"/>
    <w:rsid w:val="00094E80"/>
    <w:rsid w:val="000958A1"/>
    <w:rsid w:val="0009609C"/>
    <w:rsid w:val="000966DA"/>
    <w:rsid w:val="00097E54"/>
    <w:rsid w:val="000A20A9"/>
    <w:rsid w:val="000A48B1"/>
    <w:rsid w:val="000A600F"/>
    <w:rsid w:val="000A75D7"/>
    <w:rsid w:val="000B0F3D"/>
    <w:rsid w:val="000B3143"/>
    <w:rsid w:val="000B42A4"/>
    <w:rsid w:val="000B52FF"/>
    <w:rsid w:val="000B67F7"/>
    <w:rsid w:val="000B6F71"/>
    <w:rsid w:val="000B7450"/>
    <w:rsid w:val="000C3B59"/>
    <w:rsid w:val="000C6B05"/>
    <w:rsid w:val="000C6B68"/>
    <w:rsid w:val="000C6CCD"/>
    <w:rsid w:val="000C6DD6"/>
    <w:rsid w:val="000C73D4"/>
    <w:rsid w:val="000D15CF"/>
    <w:rsid w:val="000D2CF3"/>
    <w:rsid w:val="000D3A4A"/>
    <w:rsid w:val="000D3D4C"/>
    <w:rsid w:val="000D4F51"/>
    <w:rsid w:val="000D718B"/>
    <w:rsid w:val="000D73F0"/>
    <w:rsid w:val="000E07EA"/>
    <w:rsid w:val="000E0C46"/>
    <w:rsid w:val="000E52FB"/>
    <w:rsid w:val="000E799B"/>
    <w:rsid w:val="000F030C"/>
    <w:rsid w:val="000F0712"/>
    <w:rsid w:val="000F129C"/>
    <w:rsid w:val="000F6F09"/>
    <w:rsid w:val="00101675"/>
    <w:rsid w:val="0010195C"/>
    <w:rsid w:val="001052A7"/>
    <w:rsid w:val="001056DE"/>
    <w:rsid w:val="00105B0A"/>
    <w:rsid w:val="00107766"/>
    <w:rsid w:val="0011063F"/>
    <w:rsid w:val="001124C0"/>
    <w:rsid w:val="00116AB2"/>
    <w:rsid w:val="00117C2F"/>
    <w:rsid w:val="00124BA7"/>
    <w:rsid w:val="00126680"/>
    <w:rsid w:val="00127748"/>
    <w:rsid w:val="0013175F"/>
    <w:rsid w:val="00134443"/>
    <w:rsid w:val="00137CD1"/>
    <w:rsid w:val="00145129"/>
    <w:rsid w:val="00147221"/>
    <w:rsid w:val="001477AE"/>
    <w:rsid w:val="00147DDB"/>
    <w:rsid w:val="0015097A"/>
    <w:rsid w:val="001512B4"/>
    <w:rsid w:val="001518AE"/>
    <w:rsid w:val="00153818"/>
    <w:rsid w:val="00153E8D"/>
    <w:rsid w:val="00154D60"/>
    <w:rsid w:val="00156905"/>
    <w:rsid w:val="001611DD"/>
    <w:rsid w:val="001620A5"/>
    <w:rsid w:val="00164C31"/>
    <w:rsid w:val="00164E53"/>
    <w:rsid w:val="0016699D"/>
    <w:rsid w:val="001674D6"/>
    <w:rsid w:val="0017127A"/>
    <w:rsid w:val="001737B0"/>
    <w:rsid w:val="00175159"/>
    <w:rsid w:val="00176208"/>
    <w:rsid w:val="00176B46"/>
    <w:rsid w:val="0018211B"/>
    <w:rsid w:val="001840D3"/>
    <w:rsid w:val="001900F8"/>
    <w:rsid w:val="0019011B"/>
    <w:rsid w:val="00191258"/>
    <w:rsid w:val="00192680"/>
    <w:rsid w:val="00193037"/>
    <w:rsid w:val="00193A2C"/>
    <w:rsid w:val="00195F66"/>
    <w:rsid w:val="001A12BA"/>
    <w:rsid w:val="001A1AF8"/>
    <w:rsid w:val="001A288E"/>
    <w:rsid w:val="001A4C24"/>
    <w:rsid w:val="001A551C"/>
    <w:rsid w:val="001A6253"/>
    <w:rsid w:val="001A679D"/>
    <w:rsid w:val="001A7F9E"/>
    <w:rsid w:val="001B01FB"/>
    <w:rsid w:val="001B0433"/>
    <w:rsid w:val="001B0452"/>
    <w:rsid w:val="001B0A93"/>
    <w:rsid w:val="001B18BD"/>
    <w:rsid w:val="001B2122"/>
    <w:rsid w:val="001B639A"/>
    <w:rsid w:val="001B6DC2"/>
    <w:rsid w:val="001C0D82"/>
    <w:rsid w:val="001C149C"/>
    <w:rsid w:val="001C1528"/>
    <w:rsid w:val="001C21AC"/>
    <w:rsid w:val="001C358E"/>
    <w:rsid w:val="001C47BA"/>
    <w:rsid w:val="001C59EA"/>
    <w:rsid w:val="001C689E"/>
    <w:rsid w:val="001C7AAA"/>
    <w:rsid w:val="001D12F3"/>
    <w:rsid w:val="001D406C"/>
    <w:rsid w:val="001D41EE"/>
    <w:rsid w:val="001D5704"/>
    <w:rsid w:val="001D646E"/>
    <w:rsid w:val="001E0380"/>
    <w:rsid w:val="001E13B1"/>
    <w:rsid w:val="001E2B5E"/>
    <w:rsid w:val="001E3ED4"/>
    <w:rsid w:val="001E6445"/>
    <w:rsid w:val="001E67E6"/>
    <w:rsid w:val="001F03C9"/>
    <w:rsid w:val="001F16A6"/>
    <w:rsid w:val="001F1786"/>
    <w:rsid w:val="001F331D"/>
    <w:rsid w:val="001F3A19"/>
    <w:rsid w:val="00204000"/>
    <w:rsid w:val="00204404"/>
    <w:rsid w:val="0020748A"/>
    <w:rsid w:val="00211D21"/>
    <w:rsid w:val="0021451F"/>
    <w:rsid w:val="00214966"/>
    <w:rsid w:val="002152CF"/>
    <w:rsid w:val="002162E5"/>
    <w:rsid w:val="002178CA"/>
    <w:rsid w:val="002213CC"/>
    <w:rsid w:val="00222332"/>
    <w:rsid w:val="00225593"/>
    <w:rsid w:val="002301A6"/>
    <w:rsid w:val="0023246E"/>
    <w:rsid w:val="00232F3A"/>
    <w:rsid w:val="00234467"/>
    <w:rsid w:val="002359DB"/>
    <w:rsid w:val="00237D8D"/>
    <w:rsid w:val="00237E98"/>
    <w:rsid w:val="00240ABE"/>
    <w:rsid w:val="00241460"/>
    <w:rsid w:val="00241DA2"/>
    <w:rsid w:val="00242EDD"/>
    <w:rsid w:val="00247FEE"/>
    <w:rsid w:val="00250E7D"/>
    <w:rsid w:val="0025261B"/>
    <w:rsid w:val="00252670"/>
    <w:rsid w:val="00255561"/>
    <w:rsid w:val="00256026"/>
    <w:rsid w:val="002565D5"/>
    <w:rsid w:val="00257B43"/>
    <w:rsid w:val="0026124D"/>
    <w:rsid w:val="00261CEE"/>
    <w:rsid w:val="002622C0"/>
    <w:rsid w:val="0026498F"/>
    <w:rsid w:val="00265524"/>
    <w:rsid w:val="002669C4"/>
    <w:rsid w:val="00271548"/>
    <w:rsid w:val="002722F6"/>
    <w:rsid w:val="00272ECC"/>
    <w:rsid w:val="002739DE"/>
    <w:rsid w:val="00274805"/>
    <w:rsid w:val="00275127"/>
    <w:rsid w:val="002756C0"/>
    <w:rsid w:val="00275BFC"/>
    <w:rsid w:val="00276020"/>
    <w:rsid w:val="002778AE"/>
    <w:rsid w:val="002814B6"/>
    <w:rsid w:val="0028225B"/>
    <w:rsid w:val="0028269A"/>
    <w:rsid w:val="00282EC6"/>
    <w:rsid w:val="00283590"/>
    <w:rsid w:val="00284A9A"/>
    <w:rsid w:val="00284CA9"/>
    <w:rsid w:val="0028539F"/>
    <w:rsid w:val="00285946"/>
    <w:rsid w:val="00285B81"/>
    <w:rsid w:val="00286012"/>
    <w:rsid w:val="00286973"/>
    <w:rsid w:val="00291155"/>
    <w:rsid w:val="002945A9"/>
    <w:rsid w:val="002947A2"/>
    <w:rsid w:val="002948B5"/>
    <w:rsid w:val="00294E70"/>
    <w:rsid w:val="00295E7B"/>
    <w:rsid w:val="00295F66"/>
    <w:rsid w:val="0029618F"/>
    <w:rsid w:val="002978CE"/>
    <w:rsid w:val="002A04C1"/>
    <w:rsid w:val="002A1924"/>
    <w:rsid w:val="002A26DB"/>
    <w:rsid w:val="002A3019"/>
    <w:rsid w:val="002A5644"/>
    <w:rsid w:val="002A730F"/>
    <w:rsid w:val="002A7420"/>
    <w:rsid w:val="002B0F12"/>
    <w:rsid w:val="002B1308"/>
    <w:rsid w:val="002B20FA"/>
    <w:rsid w:val="002B4554"/>
    <w:rsid w:val="002B4C0B"/>
    <w:rsid w:val="002B7E9D"/>
    <w:rsid w:val="002C00AF"/>
    <w:rsid w:val="002C1FE7"/>
    <w:rsid w:val="002C48C6"/>
    <w:rsid w:val="002C51B9"/>
    <w:rsid w:val="002C6238"/>
    <w:rsid w:val="002C72D8"/>
    <w:rsid w:val="002D0457"/>
    <w:rsid w:val="002D11FA"/>
    <w:rsid w:val="002D4845"/>
    <w:rsid w:val="002D7ED0"/>
    <w:rsid w:val="002E0DDF"/>
    <w:rsid w:val="002E2906"/>
    <w:rsid w:val="002E2EC7"/>
    <w:rsid w:val="002E363B"/>
    <w:rsid w:val="002E455A"/>
    <w:rsid w:val="002E5635"/>
    <w:rsid w:val="002E64C3"/>
    <w:rsid w:val="002E6A2C"/>
    <w:rsid w:val="002E76A9"/>
    <w:rsid w:val="002F0FEA"/>
    <w:rsid w:val="002F1853"/>
    <w:rsid w:val="002F1D8C"/>
    <w:rsid w:val="002F1D9B"/>
    <w:rsid w:val="002F21DA"/>
    <w:rsid w:val="002F5E1D"/>
    <w:rsid w:val="0030010A"/>
    <w:rsid w:val="003005E4"/>
    <w:rsid w:val="00300CFB"/>
    <w:rsid w:val="003016C3"/>
    <w:rsid w:val="00301AB9"/>
    <w:rsid w:val="00301F39"/>
    <w:rsid w:val="003059DB"/>
    <w:rsid w:val="00305F07"/>
    <w:rsid w:val="00311EBB"/>
    <w:rsid w:val="00316570"/>
    <w:rsid w:val="00321BB8"/>
    <w:rsid w:val="003227B3"/>
    <w:rsid w:val="00323ED7"/>
    <w:rsid w:val="0032548B"/>
    <w:rsid w:val="00325926"/>
    <w:rsid w:val="00327600"/>
    <w:rsid w:val="00327A8A"/>
    <w:rsid w:val="003302D3"/>
    <w:rsid w:val="003316A2"/>
    <w:rsid w:val="003317A8"/>
    <w:rsid w:val="003331FB"/>
    <w:rsid w:val="00334C46"/>
    <w:rsid w:val="003350CF"/>
    <w:rsid w:val="00336610"/>
    <w:rsid w:val="00337221"/>
    <w:rsid w:val="003408FB"/>
    <w:rsid w:val="00340E1A"/>
    <w:rsid w:val="00342507"/>
    <w:rsid w:val="00343F73"/>
    <w:rsid w:val="00345060"/>
    <w:rsid w:val="00350854"/>
    <w:rsid w:val="00350CFB"/>
    <w:rsid w:val="00352C9E"/>
    <w:rsid w:val="0035323B"/>
    <w:rsid w:val="003536CD"/>
    <w:rsid w:val="00353C44"/>
    <w:rsid w:val="00355D8D"/>
    <w:rsid w:val="00360010"/>
    <w:rsid w:val="003609D2"/>
    <w:rsid w:val="00363F22"/>
    <w:rsid w:val="00364B8C"/>
    <w:rsid w:val="00366D02"/>
    <w:rsid w:val="00370407"/>
    <w:rsid w:val="003726B7"/>
    <w:rsid w:val="003728CE"/>
    <w:rsid w:val="00372EB0"/>
    <w:rsid w:val="0037547A"/>
    <w:rsid w:val="00375564"/>
    <w:rsid w:val="00383191"/>
    <w:rsid w:val="00383839"/>
    <w:rsid w:val="00383BB2"/>
    <w:rsid w:val="00383EB3"/>
    <w:rsid w:val="003855AC"/>
    <w:rsid w:val="00385D8A"/>
    <w:rsid w:val="00386DED"/>
    <w:rsid w:val="00386ED5"/>
    <w:rsid w:val="00387001"/>
    <w:rsid w:val="00387CA8"/>
    <w:rsid w:val="003912E7"/>
    <w:rsid w:val="00393947"/>
    <w:rsid w:val="00393C0D"/>
    <w:rsid w:val="00394A77"/>
    <w:rsid w:val="00395336"/>
    <w:rsid w:val="00395A90"/>
    <w:rsid w:val="00395ADF"/>
    <w:rsid w:val="003A06C9"/>
    <w:rsid w:val="003A1160"/>
    <w:rsid w:val="003A2275"/>
    <w:rsid w:val="003A6A4F"/>
    <w:rsid w:val="003A7088"/>
    <w:rsid w:val="003B00DF"/>
    <w:rsid w:val="003B1275"/>
    <w:rsid w:val="003B1778"/>
    <w:rsid w:val="003B1A11"/>
    <w:rsid w:val="003B1E4A"/>
    <w:rsid w:val="003B2E01"/>
    <w:rsid w:val="003B3A8B"/>
    <w:rsid w:val="003B3AB4"/>
    <w:rsid w:val="003B5084"/>
    <w:rsid w:val="003B553A"/>
    <w:rsid w:val="003B58BE"/>
    <w:rsid w:val="003B6022"/>
    <w:rsid w:val="003B6FBB"/>
    <w:rsid w:val="003B7C93"/>
    <w:rsid w:val="003C11CB"/>
    <w:rsid w:val="003C21F1"/>
    <w:rsid w:val="003C29B9"/>
    <w:rsid w:val="003C4AE4"/>
    <w:rsid w:val="003C73A0"/>
    <w:rsid w:val="003C75F3"/>
    <w:rsid w:val="003C78A3"/>
    <w:rsid w:val="003D0A02"/>
    <w:rsid w:val="003D5623"/>
    <w:rsid w:val="003D5FED"/>
    <w:rsid w:val="003D62AB"/>
    <w:rsid w:val="003E01C1"/>
    <w:rsid w:val="003E1867"/>
    <w:rsid w:val="003E5729"/>
    <w:rsid w:val="003E66E1"/>
    <w:rsid w:val="003E764F"/>
    <w:rsid w:val="003E7D22"/>
    <w:rsid w:val="003F04B8"/>
    <w:rsid w:val="003F2544"/>
    <w:rsid w:val="003F3975"/>
    <w:rsid w:val="003F3D37"/>
    <w:rsid w:val="003F4EE0"/>
    <w:rsid w:val="00402153"/>
    <w:rsid w:val="00402590"/>
    <w:rsid w:val="00402A7C"/>
    <w:rsid w:val="00402FC1"/>
    <w:rsid w:val="00403DA6"/>
    <w:rsid w:val="00404085"/>
    <w:rsid w:val="00406B39"/>
    <w:rsid w:val="00407C90"/>
    <w:rsid w:val="00411006"/>
    <w:rsid w:val="00413941"/>
    <w:rsid w:val="0041556D"/>
    <w:rsid w:val="00416E70"/>
    <w:rsid w:val="00423B9B"/>
    <w:rsid w:val="00424541"/>
    <w:rsid w:val="00425082"/>
    <w:rsid w:val="00430D07"/>
    <w:rsid w:val="00430F1C"/>
    <w:rsid w:val="00431DEB"/>
    <w:rsid w:val="00433800"/>
    <w:rsid w:val="00440CF2"/>
    <w:rsid w:val="0044302B"/>
    <w:rsid w:val="00443716"/>
    <w:rsid w:val="00446B29"/>
    <w:rsid w:val="00446D96"/>
    <w:rsid w:val="00447BCF"/>
    <w:rsid w:val="00447D2E"/>
    <w:rsid w:val="00450573"/>
    <w:rsid w:val="00450730"/>
    <w:rsid w:val="00450C44"/>
    <w:rsid w:val="004512F0"/>
    <w:rsid w:val="00453B1A"/>
    <w:rsid w:val="00453F9A"/>
    <w:rsid w:val="004629EC"/>
    <w:rsid w:val="00465BFE"/>
    <w:rsid w:val="00465D65"/>
    <w:rsid w:val="004669ED"/>
    <w:rsid w:val="00467CA2"/>
    <w:rsid w:val="00470D7C"/>
    <w:rsid w:val="0047160B"/>
    <w:rsid w:val="00471E91"/>
    <w:rsid w:val="0047446E"/>
    <w:rsid w:val="00474675"/>
    <w:rsid w:val="0047470C"/>
    <w:rsid w:val="00474DBC"/>
    <w:rsid w:val="00475685"/>
    <w:rsid w:val="004766F3"/>
    <w:rsid w:val="004805E9"/>
    <w:rsid w:val="00480F7A"/>
    <w:rsid w:val="00483089"/>
    <w:rsid w:val="004839E1"/>
    <w:rsid w:val="00483C24"/>
    <w:rsid w:val="0048428D"/>
    <w:rsid w:val="00486DA5"/>
    <w:rsid w:val="0048779E"/>
    <w:rsid w:val="00493A4B"/>
    <w:rsid w:val="004945EC"/>
    <w:rsid w:val="00495645"/>
    <w:rsid w:val="004958E6"/>
    <w:rsid w:val="00495A13"/>
    <w:rsid w:val="004968CB"/>
    <w:rsid w:val="004A21F2"/>
    <w:rsid w:val="004A232B"/>
    <w:rsid w:val="004A35F9"/>
    <w:rsid w:val="004A598D"/>
    <w:rsid w:val="004A6BE0"/>
    <w:rsid w:val="004A7132"/>
    <w:rsid w:val="004B24C1"/>
    <w:rsid w:val="004B4592"/>
    <w:rsid w:val="004B53E5"/>
    <w:rsid w:val="004B7C46"/>
    <w:rsid w:val="004C1AF5"/>
    <w:rsid w:val="004C28C1"/>
    <w:rsid w:val="004C292F"/>
    <w:rsid w:val="004C4259"/>
    <w:rsid w:val="004D167C"/>
    <w:rsid w:val="004D1C55"/>
    <w:rsid w:val="004D21B7"/>
    <w:rsid w:val="004D356D"/>
    <w:rsid w:val="004D4F1B"/>
    <w:rsid w:val="004E0BF3"/>
    <w:rsid w:val="004E4107"/>
    <w:rsid w:val="004E5CE6"/>
    <w:rsid w:val="004E636B"/>
    <w:rsid w:val="004F2179"/>
    <w:rsid w:val="004F3327"/>
    <w:rsid w:val="004F3D8E"/>
    <w:rsid w:val="004F4E7B"/>
    <w:rsid w:val="004F664C"/>
    <w:rsid w:val="00500339"/>
    <w:rsid w:val="00500B58"/>
    <w:rsid w:val="0050412D"/>
    <w:rsid w:val="00504642"/>
    <w:rsid w:val="0050487B"/>
    <w:rsid w:val="0050497E"/>
    <w:rsid w:val="005058CA"/>
    <w:rsid w:val="00510280"/>
    <w:rsid w:val="005102D8"/>
    <w:rsid w:val="0051036F"/>
    <w:rsid w:val="00510B30"/>
    <w:rsid w:val="005113D0"/>
    <w:rsid w:val="00513D73"/>
    <w:rsid w:val="00514A43"/>
    <w:rsid w:val="005174E5"/>
    <w:rsid w:val="005208F8"/>
    <w:rsid w:val="00522393"/>
    <w:rsid w:val="00522620"/>
    <w:rsid w:val="00525656"/>
    <w:rsid w:val="005305E9"/>
    <w:rsid w:val="005306A7"/>
    <w:rsid w:val="00531029"/>
    <w:rsid w:val="00533967"/>
    <w:rsid w:val="005343F5"/>
    <w:rsid w:val="00534B4C"/>
    <w:rsid w:val="00534C02"/>
    <w:rsid w:val="00536A08"/>
    <w:rsid w:val="00537464"/>
    <w:rsid w:val="00542628"/>
    <w:rsid w:val="0054264B"/>
    <w:rsid w:val="00542B8A"/>
    <w:rsid w:val="00543786"/>
    <w:rsid w:val="00543856"/>
    <w:rsid w:val="00543C0F"/>
    <w:rsid w:val="00544A2A"/>
    <w:rsid w:val="00545691"/>
    <w:rsid w:val="00551FF7"/>
    <w:rsid w:val="005522E2"/>
    <w:rsid w:val="005533D7"/>
    <w:rsid w:val="00554313"/>
    <w:rsid w:val="00557007"/>
    <w:rsid w:val="00557305"/>
    <w:rsid w:val="00562EE5"/>
    <w:rsid w:val="005647B7"/>
    <w:rsid w:val="00566968"/>
    <w:rsid w:val="005703DE"/>
    <w:rsid w:val="00571F9C"/>
    <w:rsid w:val="00574391"/>
    <w:rsid w:val="00575F82"/>
    <w:rsid w:val="00576374"/>
    <w:rsid w:val="00576EC2"/>
    <w:rsid w:val="005820F4"/>
    <w:rsid w:val="0058464E"/>
    <w:rsid w:val="005851DA"/>
    <w:rsid w:val="00591531"/>
    <w:rsid w:val="005937FD"/>
    <w:rsid w:val="00593B48"/>
    <w:rsid w:val="0059652A"/>
    <w:rsid w:val="005A01CB"/>
    <w:rsid w:val="005A0B69"/>
    <w:rsid w:val="005A5472"/>
    <w:rsid w:val="005A58FF"/>
    <w:rsid w:val="005A5B7C"/>
    <w:rsid w:val="005A5EAF"/>
    <w:rsid w:val="005A64C0"/>
    <w:rsid w:val="005A7FE6"/>
    <w:rsid w:val="005B0576"/>
    <w:rsid w:val="005B11BB"/>
    <w:rsid w:val="005B2AFE"/>
    <w:rsid w:val="005B2BEC"/>
    <w:rsid w:val="005B34D3"/>
    <w:rsid w:val="005B3C11"/>
    <w:rsid w:val="005B4BC9"/>
    <w:rsid w:val="005B4CEE"/>
    <w:rsid w:val="005B69CD"/>
    <w:rsid w:val="005B77F5"/>
    <w:rsid w:val="005C04E6"/>
    <w:rsid w:val="005C163C"/>
    <w:rsid w:val="005C1C28"/>
    <w:rsid w:val="005C243C"/>
    <w:rsid w:val="005C2C7B"/>
    <w:rsid w:val="005C3EB2"/>
    <w:rsid w:val="005C49E1"/>
    <w:rsid w:val="005C5798"/>
    <w:rsid w:val="005C59EA"/>
    <w:rsid w:val="005C6DB5"/>
    <w:rsid w:val="005D0561"/>
    <w:rsid w:val="005D2436"/>
    <w:rsid w:val="005D2A5B"/>
    <w:rsid w:val="005D4447"/>
    <w:rsid w:val="005D4E62"/>
    <w:rsid w:val="005D68E2"/>
    <w:rsid w:val="005E00CC"/>
    <w:rsid w:val="005E19CF"/>
    <w:rsid w:val="005E19E7"/>
    <w:rsid w:val="005E5679"/>
    <w:rsid w:val="005E5940"/>
    <w:rsid w:val="005F0101"/>
    <w:rsid w:val="005F024D"/>
    <w:rsid w:val="005F0D35"/>
    <w:rsid w:val="005F2425"/>
    <w:rsid w:val="005F379A"/>
    <w:rsid w:val="005F5113"/>
    <w:rsid w:val="005F677F"/>
    <w:rsid w:val="00604F9A"/>
    <w:rsid w:val="0060551D"/>
    <w:rsid w:val="00613B57"/>
    <w:rsid w:val="006160F3"/>
    <w:rsid w:val="0061716C"/>
    <w:rsid w:val="006201D2"/>
    <w:rsid w:val="00622A2D"/>
    <w:rsid w:val="00623704"/>
    <w:rsid w:val="0062412F"/>
    <w:rsid w:val="00624290"/>
    <w:rsid w:val="006243A1"/>
    <w:rsid w:val="0062491D"/>
    <w:rsid w:val="00632B61"/>
    <w:rsid w:val="00632E56"/>
    <w:rsid w:val="006343FB"/>
    <w:rsid w:val="00634F2F"/>
    <w:rsid w:val="00635CBA"/>
    <w:rsid w:val="0064113B"/>
    <w:rsid w:val="0064338B"/>
    <w:rsid w:val="0064381F"/>
    <w:rsid w:val="00644FE8"/>
    <w:rsid w:val="0064599E"/>
    <w:rsid w:val="0064604F"/>
    <w:rsid w:val="00646542"/>
    <w:rsid w:val="00646CD0"/>
    <w:rsid w:val="00647517"/>
    <w:rsid w:val="006504F4"/>
    <w:rsid w:val="0065143E"/>
    <w:rsid w:val="006535D9"/>
    <w:rsid w:val="00654332"/>
    <w:rsid w:val="00654BC9"/>
    <w:rsid w:val="00654F7D"/>
    <w:rsid w:val="006552FD"/>
    <w:rsid w:val="006560B0"/>
    <w:rsid w:val="00656CF5"/>
    <w:rsid w:val="006575B8"/>
    <w:rsid w:val="00660FAC"/>
    <w:rsid w:val="00661B53"/>
    <w:rsid w:val="00663AF3"/>
    <w:rsid w:val="00666025"/>
    <w:rsid w:val="00666B6C"/>
    <w:rsid w:val="00667681"/>
    <w:rsid w:val="0067421A"/>
    <w:rsid w:val="00676CD7"/>
    <w:rsid w:val="00682682"/>
    <w:rsid w:val="00682702"/>
    <w:rsid w:val="00682CAE"/>
    <w:rsid w:val="00683C96"/>
    <w:rsid w:val="006857B7"/>
    <w:rsid w:val="006879B4"/>
    <w:rsid w:val="00691B30"/>
    <w:rsid w:val="00692236"/>
    <w:rsid w:val="00692368"/>
    <w:rsid w:val="00692CFE"/>
    <w:rsid w:val="00692D0A"/>
    <w:rsid w:val="006930CE"/>
    <w:rsid w:val="0069572A"/>
    <w:rsid w:val="006961E7"/>
    <w:rsid w:val="00697059"/>
    <w:rsid w:val="00697DAF"/>
    <w:rsid w:val="006A2AFE"/>
    <w:rsid w:val="006A2DEA"/>
    <w:rsid w:val="006A2EBC"/>
    <w:rsid w:val="006A48DA"/>
    <w:rsid w:val="006A4DA3"/>
    <w:rsid w:val="006A5EA0"/>
    <w:rsid w:val="006A783B"/>
    <w:rsid w:val="006A7B33"/>
    <w:rsid w:val="006B071A"/>
    <w:rsid w:val="006B0EFC"/>
    <w:rsid w:val="006B1E54"/>
    <w:rsid w:val="006B26BD"/>
    <w:rsid w:val="006B4E13"/>
    <w:rsid w:val="006B606D"/>
    <w:rsid w:val="006B6EBE"/>
    <w:rsid w:val="006B75DD"/>
    <w:rsid w:val="006B7F61"/>
    <w:rsid w:val="006C0A26"/>
    <w:rsid w:val="006C0D66"/>
    <w:rsid w:val="006C0E10"/>
    <w:rsid w:val="006C399A"/>
    <w:rsid w:val="006C3CD4"/>
    <w:rsid w:val="006C497E"/>
    <w:rsid w:val="006C5335"/>
    <w:rsid w:val="006C67E0"/>
    <w:rsid w:val="006C7ABA"/>
    <w:rsid w:val="006C7FE7"/>
    <w:rsid w:val="006D0D60"/>
    <w:rsid w:val="006D1122"/>
    <w:rsid w:val="006D2CC2"/>
    <w:rsid w:val="006D2DD9"/>
    <w:rsid w:val="006D3C00"/>
    <w:rsid w:val="006D4A6F"/>
    <w:rsid w:val="006D6CF4"/>
    <w:rsid w:val="006D76F4"/>
    <w:rsid w:val="006D7939"/>
    <w:rsid w:val="006E19E1"/>
    <w:rsid w:val="006E3675"/>
    <w:rsid w:val="006E4A7F"/>
    <w:rsid w:val="006F734E"/>
    <w:rsid w:val="006F7DD6"/>
    <w:rsid w:val="00700C5C"/>
    <w:rsid w:val="00704329"/>
    <w:rsid w:val="00704DF6"/>
    <w:rsid w:val="0070651C"/>
    <w:rsid w:val="0070680E"/>
    <w:rsid w:val="00710136"/>
    <w:rsid w:val="007127D8"/>
    <w:rsid w:val="007132A3"/>
    <w:rsid w:val="00716178"/>
    <w:rsid w:val="00716421"/>
    <w:rsid w:val="00716F24"/>
    <w:rsid w:val="007236CA"/>
    <w:rsid w:val="00723B10"/>
    <w:rsid w:val="00724EFB"/>
    <w:rsid w:val="00725723"/>
    <w:rsid w:val="0073361C"/>
    <w:rsid w:val="00734073"/>
    <w:rsid w:val="0073717E"/>
    <w:rsid w:val="007371C7"/>
    <w:rsid w:val="00737FAC"/>
    <w:rsid w:val="007419C3"/>
    <w:rsid w:val="00742692"/>
    <w:rsid w:val="00743709"/>
    <w:rsid w:val="0074430B"/>
    <w:rsid w:val="00744F22"/>
    <w:rsid w:val="00745273"/>
    <w:rsid w:val="007467A7"/>
    <w:rsid w:val="00746833"/>
    <w:rsid w:val="007469DD"/>
    <w:rsid w:val="0074741B"/>
    <w:rsid w:val="0074759E"/>
    <w:rsid w:val="007478EA"/>
    <w:rsid w:val="00751369"/>
    <w:rsid w:val="007523A8"/>
    <w:rsid w:val="007524D6"/>
    <w:rsid w:val="0075415C"/>
    <w:rsid w:val="00761590"/>
    <w:rsid w:val="00761E31"/>
    <w:rsid w:val="00763502"/>
    <w:rsid w:val="00770B66"/>
    <w:rsid w:val="00775E77"/>
    <w:rsid w:val="00775FF0"/>
    <w:rsid w:val="00776DCC"/>
    <w:rsid w:val="0077743E"/>
    <w:rsid w:val="0078418C"/>
    <w:rsid w:val="0078671B"/>
    <w:rsid w:val="00786A8D"/>
    <w:rsid w:val="007913AB"/>
    <w:rsid w:val="007914F7"/>
    <w:rsid w:val="007915F3"/>
    <w:rsid w:val="00794A0E"/>
    <w:rsid w:val="00797C76"/>
    <w:rsid w:val="007A439B"/>
    <w:rsid w:val="007A5A9E"/>
    <w:rsid w:val="007A647B"/>
    <w:rsid w:val="007B0AF8"/>
    <w:rsid w:val="007B1625"/>
    <w:rsid w:val="007B2C6F"/>
    <w:rsid w:val="007B321C"/>
    <w:rsid w:val="007B5D4A"/>
    <w:rsid w:val="007B706E"/>
    <w:rsid w:val="007B71EB"/>
    <w:rsid w:val="007C09CB"/>
    <w:rsid w:val="007C6205"/>
    <w:rsid w:val="007C686A"/>
    <w:rsid w:val="007C6CFE"/>
    <w:rsid w:val="007C728E"/>
    <w:rsid w:val="007D2C53"/>
    <w:rsid w:val="007D2D86"/>
    <w:rsid w:val="007D3D60"/>
    <w:rsid w:val="007D48DC"/>
    <w:rsid w:val="007D5441"/>
    <w:rsid w:val="007D67FE"/>
    <w:rsid w:val="007D7CEC"/>
    <w:rsid w:val="007E07F0"/>
    <w:rsid w:val="007E097D"/>
    <w:rsid w:val="007E1980"/>
    <w:rsid w:val="007E1C08"/>
    <w:rsid w:val="007E2E81"/>
    <w:rsid w:val="007E3E03"/>
    <w:rsid w:val="007E4677"/>
    <w:rsid w:val="007E4B76"/>
    <w:rsid w:val="007E5EA8"/>
    <w:rsid w:val="007E6AEA"/>
    <w:rsid w:val="007F0CF1"/>
    <w:rsid w:val="007F12A5"/>
    <w:rsid w:val="007F2BFF"/>
    <w:rsid w:val="007F4CF1"/>
    <w:rsid w:val="007F758D"/>
    <w:rsid w:val="007F7D52"/>
    <w:rsid w:val="008007C1"/>
    <w:rsid w:val="00801059"/>
    <w:rsid w:val="008035AB"/>
    <w:rsid w:val="00804DA9"/>
    <w:rsid w:val="00805F0D"/>
    <w:rsid w:val="0080654C"/>
    <w:rsid w:val="008071C6"/>
    <w:rsid w:val="00807626"/>
    <w:rsid w:val="008077C8"/>
    <w:rsid w:val="008107F3"/>
    <w:rsid w:val="0081341F"/>
    <w:rsid w:val="008158A0"/>
    <w:rsid w:val="00815C6D"/>
    <w:rsid w:val="00816365"/>
    <w:rsid w:val="00816681"/>
    <w:rsid w:val="00817A00"/>
    <w:rsid w:val="00821010"/>
    <w:rsid w:val="00821D87"/>
    <w:rsid w:val="00822AE4"/>
    <w:rsid w:val="008230E2"/>
    <w:rsid w:val="008236B0"/>
    <w:rsid w:val="00827145"/>
    <w:rsid w:val="00831801"/>
    <w:rsid w:val="00833DE3"/>
    <w:rsid w:val="0083530A"/>
    <w:rsid w:val="00835DB3"/>
    <w:rsid w:val="0083617B"/>
    <w:rsid w:val="008371BD"/>
    <w:rsid w:val="008377D6"/>
    <w:rsid w:val="008438C9"/>
    <w:rsid w:val="00845605"/>
    <w:rsid w:val="00845F5A"/>
    <w:rsid w:val="008461E2"/>
    <w:rsid w:val="008504A8"/>
    <w:rsid w:val="0085282E"/>
    <w:rsid w:val="00852E7F"/>
    <w:rsid w:val="0085348A"/>
    <w:rsid w:val="0085461D"/>
    <w:rsid w:val="008560F0"/>
    <w:rsid w:val="00856BB7"/>
    <w:rsid w:val="008577CE"/>
    <w:rsid w:val="008606D8"/>
    <w:rsid w:val="00860C4F"/>
    <w:rsid w:val="00860E67"/>
    <w:rsid w:val="00865756"/>
    <w:rsid w:val="00866D56"/>
    <w:rsid w:val="00867AB7"/>
    <w:rsid w:val="0087198C"/>
    <w:rsid w:val="00872C1F"/>
    <w:rsid w:val="00873B42"/>
    <w:rsid w:val="00877BF0"/>
    <w:rsid w:val="008802C7"/>
    <w:rsid w:val="008815F0"/>
    <w:rsid w:val="00881F17"/>
    <w:rsid w:val="00881F55"/>
    <w:rsid w:val="008856D8"/>
    <w:rsid w:val="008870B1"/>
    <w:rsid w:val="008870E7"/>
    <w:rsid w:val="0089027F"/>
    <w:rsid w:val="00890561"/>
    <w:rsid w:val="00892E82"/>
    <w:rsid w:val="008948D6"/>
    <w:rsid w:val="008950F6"/>
    <w:rsid w:val="00895A92"/>
    <w:rsid w:val="00896846"/>
    <w:rsid w:val="008A17B0"/>
    <w:rsid w:val="008A539D"/>
    <w:rsid w:val="008B3DDD"/>
    <w:rsid w:val="008B4CBC"/>
    <w:rsid w:val="008B64EB"/>
    <w:rsid w:val="008B6D41"/>
    <w:rsid w:val="008B7005"/>
    <w:rsid w:val="008B79A1"/>
    <w:rsid w:val="008B7C30"/>
    <w:rsid w:val="008C1B58"/>
    <w:rsid w:val="008C337C"/>
    <w:rsid w:val="008C3442"/>
    <w:rsid w:val="008C39AE"/>
    <w:rsid w:val="008C588B"/>
    <w:rsid w:val="008C590D"/>
    <w:rsid w:val="008C6449"/>
    <w:rsid w:val="008C718C"/>
    <w:rsid w:val="008C7431"/>
    <w:rsid w:val="008D0DB0"/>
    <w:rsid w:val="008D1F0F"/>
    <w:rsid w:val="008D2CDA"/>
    <w:rsid w:val="008D7574"/>
    <w:rsid w:val="008D7BDE"/>
    <w:rsid w:val="008D7F05"/>
    <w:rsid w:val="008E031B"/>
    <w:rsid w:val="008E06B3"/>
    <w:rsid w:val="008E23D9"/>
    <w:rsid w:val="008E2EDC"/>
    <w:rsid w:val="008E5E64"/>
    <w:rsid w:val="008E7029"/>
    <w:rsid w:val="008E7EF6"/>
    <w:rsid w:val="008F1F98"/>
    <w:rsid w:val="008F33D3"/>
    <w:rsid w:val="008F6758"/>
    <w:rsid w:val="00902D98"/>
    <w:rsid w:val="0090319C"/>
    <w:rsid w:val="009040DD"/>
    <w:rsid w:val="00904F8C"/>
    <w:rsid w:val="00905097"/>
    <w:rsid w:val="00905B47"/>
    <w:rsid w:val="0090673A"/>
    <w:rsid w:val="00906BAB"/>
    <w:rsid w:val="0091331C"/>
    <w:rsid w:val="00913B27"/>
    <w:rsid w:val="009171CE"/>
    <w:rsid w:val="009209A2"/>
    <w:rsid w:val="00920FA2"/>
    <w:rsid w:val="00921126"/>
    <w:rsid w:val="0092206B"/>
    <w:rsid w:val="00924511"/>
    <w:rsid w:val="009279DE"/>
    <w:rsid w:val="00930116"/>
    <w:rsid w:val="00940A7B"/>
    <w:rsid w:val="0094212C"/>
    <w:rsid w:val="00942E43"/>
    <w:rsid w:val="00943176"/>
    <w:rsid w:val="00946167"/>
    <w:rsid w:val="00953CE4"/>
    <w:rsid w:val="009541FA"/>
    <w:rsid w:val="00954689"/>
    <w:rsid w:val="00954776"/>
    <w:rsid w:val="00955B75"/>
    <w:rsid w:val="00960E69"/>
    <w:rsid w:val="0096119D"/>
    <w:rsid w:val="009617C9"/>
    <w:rsid w:val="00961C93"/>
    <w:rsid w:val="00962860"/>
    <w:rsid w:val="00963CED"/>
    <w:rsid w:val="00964FCC"/>
    <w:rsid w:val="00965324"/>
    <w:rsid w:val="00967FE6"/>
    <w:rsid w:val="0097091E"/>
    <w:rsid w:val="009716DA"/>
    <w:rsid w:val="00973D3E"/>
    <w:rsid w:val="009760D3"/>
    <w:rsid w:val="00976D08"/>
    <w:rsid w:val="00977132"/>
    <w:rsid w:val="00977620"/>
    <w:rsid w:val="00980F59"/>
    <w:rsid w:val="00981808"/>
    <w:rsid w:val="00981A4B"/>
    <w:rsid w:val="00982501"/>
    <w:rsid w:val="00983BB3"/>
    <w:rsid w:val="00985999"/>
    <w:rsid w:val="00985CAF"/>
    <w:rsid w:val="009862B3"/>
    <w:rsid w:val="00986466"/>
    <w:rsid w:val="009877D3"/>
    <w:rsid w:val="00990239"/>
    <w:rsid w:val="00992CB2"/>
    <w:rsid w:val="00994983"/>
    <w:rsid w:val="00994E8F"/>
    <w:rsid w:val="009951DC"/>
    <w:rsid w:val="009959BB"/>
    <w:rsid w:val="00996F64"/>
    <w:rsid w:val="00997158"/>
    <w:rsid w:val="009A0A3E"/>
    <w:rsid w:val="009A2B0D"/>
    <w:rsid w:val="009A2D87"/>
    <w:rsid w:val="009A3113"/>
    <w:rsid w:val="009A33FC"/>
    <w:rsid w:val="009A3A7C"/>
    <w:rsid w:val="009A60A1"/>
    <w:rsid w:val="009A6462"/>
    <w:rsid w:val="009A6EC8"/>
    <w:rsid w:val="009B2ADB"/>
    <w:rsid w:val="009B4300"/>
    <w:rsid w:val="009B59A2"/>
    <w:rsid w:val="009B603A"/>
    <w:rsid w:val="009B767D"/>
    <w:rsid w:val="009C0015"/>
    <w:rsid w:val="009C1409"/>
    <w:rsid w:val="009C2D0E"/>
    <w:rsid w:val="009C31D1"/>
    <w:rsid w:val="009C3DAC"/>
    <w:rsid w:val="009C42E0"/>
    <w:rsid w:val="009C5FF5"/>
    <w:rsid w:val="009C6468"/>
    <w:rsid w:val="009D1AB1"/>
    <w:rsid w:val="009D1E17"/>
    <w:rsid w:val="009D5362"/>
    <w:rsid w:val="009D7BC3"/>
    <w:rsid w:val="009E0EC3"/>
    <w:rsid w:val="009E1415"/>
    <w:rsid w:val="009E2DD1"/>
    <w:rsid w:val="009E3D8D"/>
    <w:rsid w:val="009E49E9"/>
    <w:rsid w:val="009E563F"/>
    <w:rsid w:val="009E6116"/>
    <w:rsid w:val="009E6E85"/>
    <w:rsid w:val="009F20A9"/>
    <w:rsid w:val="009F2B98"/>
    <w:rsid w:val="009F387E"/>
    <w:rsid w:val="009F3FA8"/>
    <w:rsid w:val="00A0187A"/>
    <w:rsid w:val="00A026D5"/>
    <w:rsid w:val="00A02E43"/>
    <w:rsid w:val="00A03A41"/>
    <w:rsid w:val="00A03A9C"/>
    <w:rsid w:val="00A065F9"/>
    <w:rsid w:val="00A06613"/>
    <w:rsid w:val="00A07F34"/>
    <w:rsid w:val="00A10E41"/>
    <w:rsid w:val="00A11C69"/>
    <w:rsid w:val="00A14A2F"/>
    <w:rsid w:val="00A22154"/>
    <w:rsid w:val="00A23813"/>
    <w:rsid w:val="00A25C38"/>
    <w:rsid w:val="00A30E59"/>
    <w:rsid w:val="00A3108F"/>
    <w:rsid w:val="00A31AA8"/>
    <w:rsid w:val="00A320FC"/>
    <w:rsid w:val="00A33A6A"/>
    <w:rsid w:val="00A34322"/>
    <w:rsid w:val="00A352AD"/>
    <w:rsid w:val="00A36BBE"/>
    <w:rsid w:val="00A37D50"/>
    <w:rsid w:val="00A40A81"/>
    <w:rsid w:val="00A4307A"/>
    <w:rsid w:val="00A45856"/>
    <w:rsid w:val="00A4715D"/>
    <w:rsid w:val="00A47EBB"/>
    <w:rsid w:val="00A50FF9"/>
    <w:rsid w:val="00A51116"/>
    <w:rsid w:val="00A51CDD"/>
    <w:rsid w:val="00A52BE8"/>
    <w:rsid w:val="00A5367F"/>
    <w:rsid w:val="00A54129"/>
    <w:rsid w:val="00A55C2C"/>
    <w:rsid w:val="00A567C6"/>
    <w:rsid w:val="00A6218D"/>
    <w:rsid w:val="00A645DF"/>
    <w:rsid w:val="00A66119"/>
    <w:rsid w:val="00A6624E"/>
    <w:rsid w:val="00A66B26"/>
    <w:rsid w:val="00A6730D"/>
    <w:rsid w:val="00A71625"/>
    <w:rsid w:val="00A71B9B"/>
    <w:rsid w:val="00A72B45"/>
    <w:rsid w:val="00A72F99"/>
    <w:rsid w:val="00A751C7"/>
    <w:rsid w:val="00A803A9"/>
    <w:rsid w:val="00A87844"/>
    <w:rsid w:val="00A909A5"/>
    <w:rsid w:val="00A92FE1"/>
    <w:rsid w:val="00A93FC2"/>
    <w:rsid w:val="00A9496E"/>
    <w:rsid w:val="00A97905"/>
    <w:rsid w:val="00A97F7F"/>
    <w:rsid w:val="00AA038C"/>
    <w:rsid w:val="00AA2D51"/>
    <w:rsid w:val="00AA3054"/>
    <w:rsid w:val="00AA47AD"/>
    <w:rsid w:val="00AA51D5"/>
    <w:rsid w:val="00AA6CD0"/>
    <w:rsid w:val="00AA7A09"/>
    <w:rsid w:val="00AA7EFE"/>
    <w:rsid w:val="00AB23AB"/>
    <w:rsid w:val="00AB24BC"/>
    <w:rsid w:val="00AB3B50"/>
    <w:rsid w:val="00AB446C"/>
    <w:rsid w:val="00AB65DD"/>
    <w:rsid w:val="00AC0356"/>
    <w:rsid w:val="00AC05B1"/>
    <w:rsid w:val="00AC2BA1"/>
    <w:rsid w:val="00AC5661"/>
    <w:rsid w:val="00AC577E"/>
    <w:rsid w:val="00AC6EEE"/>
    <w:rsid w:val="00AD356C"/>
    <w:rsid w:val="00AD7E2C"/>
    <w:rsid w:val="00AE1C52"/>
    <w:rsid w:val="00AE257F"/>
    <w:rsid w:val="00AE2914"/>
    <w:rsid w:val="00AE6A9C"/>
    <w:rsid w:val="00AE6D15"/>
    <w:rsid w:val="00AF0626"/>
    <w:rsid w:val="00AF34AB"/>
    <w:rsid w:val="00AF40AF"/>
    <w:rsid w:val="00AF4386"/>
    <w:rsid w:val="00AF5A01"/>
    <w:rsid w:val="00AF7FE3"/>
    <w:rsid w:val="00B014C8"/>
    <w:rsid w:val="00B01A52"/>
    <w:rsid w:val="00B028F8"/>
    <w:rsid w:val="00B04182"/>
    <w:rsid w:val="00B061E1"/>
    <w:rsid w:val="00B06354"/>
    <w:rsid w:val="00B072A8"/>
    <w:rsid w:val="00B07AE3"/>
    <w:rsid w:val="00B11430"/>
    <w:rsid w:val="00B1212C"/>
    <w:rsid w:val="00B12326"/>
    <w:rsid w:val="00B137AC"/>
    <w:rsid w:val="00B2170E"/>
    <w:rsid w:val="00B21C38"/>
    <w:rsid w:val="00B228B2"/>
    <w:rsid w:val="00B26044"/>
    <w:rsid w:val="00B30706"/>
    <w:rsid w:val="00B30DC1"/>
    <w:rsid w:val="00B31C56"/>
    <w:rsid w:val="00B353EB"/>
    <w:rsid w:val="00B35B96"/>
    <w:rsid w:val="00B41DE3"/>
    <w:rsid w:val="00B42563"/>
    <w:rsid w:val="00B42BDE"/>
    <w:rsid w:val="00B439C4"/>
    <w:rsid w:val="00B4535E"/>
    <w:rsid w:val="00B4606C"/>
    <w:rsid w:val="00B50AC1"/>
    <w:rsid w:val="00B52A8C"/>
    <w:rsid w:val="00B62C7F"/>
    <w:rsid w:val="00B636A8"/>
    <w:rsid w:val="00B65954"/>
    <w:rsid w:val="00B65BE7"/>
    <w:rsid w:val="00B665C6"/>
    <w:rsid w:val="00B70057"/>
    <w:rsid w:val="00B709EC"/>
    <w:rsid w:val="00B7349E"/>
    <w:rsid w:val="00B76CEC"/>
    <w:rsid w:val="00B805AF"/>
    <w:rsid w:val="00B8171E"/>
    <w:rsid w:val="00B8320F"/>
    <w:rsid w:val="00B869EC"/>
    <w:rsid w:val="00B874F6"/>
    <w:rsid w:val="00B9397A"/>
    <w:rsid w:val="00B9633D"/>
    <w:rsid w:val="00B9659E"/>
    <w:rsid w:val="00B9668C"/>
    <w:rsid w:val="00BA0169"/>
    <w:rsid w:val="00BA0A0B"/>
    <w:rsid w:val="00BA0B75"/>
    <w:rsid w:val="00BA1524"/>
    <w:rsid w:val="00BA2B60"/>
    <w:rsid w:val="00BA2EBE"/>
    <w:rsid w:val="00BA7763"/>
    <w:rsid w:val="00BA7EE8"/>
    <w:rsid w:val="00BB0F28"/>
    <w:rsid w:val="00BB25FD"/>
    <w:rsid w:val="00BB3DBB"/>
    <w:rsid w:val="00BB458A"/>
    <w:rsid w:val="00BB54E9"/>
    <w:rsid w:val="00BC0D35"/>
    <w:rsid w:val="00BC0F32"/>
    <w:rsid w:val="00BC17A2"/>
    <w:rsid w:val="00BC1D67"/>
    <w:rsid w:val="00BD00D3"/>
    <w:rsid w:val="00BD00E6"/>
    <w:rsid w:val="00BD1659"/>
    <w:rsid w:val="00BD1D3E"/>
    <w:rsid w:val="00BD2211"/>
    <w:rsid w:val="00BD3AA9"/>
    <w:rsid w:val="00BD43B4"/>
    <w:rsid w:val="00BD4A18"/>
    <w:rsid w:val="00BD6425"/>
    <w:rsid w:val="00BD6DB2"/>
    <w:rsid w:val="00BE0778"/>
    <w:rsid w:val="00BE0AD1"/>
    <w:rsid w:val="00BE11CF"/>
    <w:rsid w:val="00BE174C"/>
    <w:rsid w:val="00BE21AB"/>
    <w:rsid w:val="00BE3CE1"/>
    <w:rsid w:val="00BE55CB"/>
    <w:rsid w:val="00BF2AA0"/>
    <w:rsid w:val="00BF32C2"/>
    <w:rsid w:val="00BF5F8F"/>
    <w:rsid w:val="00BF617A"/>
    <w:rsid w:val="00BF6A25"/>
    <w:rsid w:val="00BF6FCE"/>
    <w:rsid w:val="00BF7F90"/>
    <w:rsid w:val="00C00ADE"/>
    <w:rsid w:val="00C00B2D"/>
    <w:rsid w:val="00C0379D"/>
    <w:rsid w:val="00C03931"/>
    <w:rsid w:val="00C05647"/>
    <w:rsid w:val="00C05FE3"/>
    <w:rsid w:val="00C0608E"/>
    <w:rsid w:val="00C06814"/>
    <w:rsid w:val="00C07FD6"/>
    <w:rsid w:val="00C1320C"/>
    <w:rsid w:val="00C13AD1"/>
    <w:rsid w:val="00C14E84"/>
    <w:rsid w:val="00C20586"/>
    <w:rsid w:val="00C2136D"/>
    <w:rsid w:val="00C214EE"/>
    <w:rsid w:val="00C2314B"/>
    <w:rsid w:val="00C24971"/>
    <w:rsid w:val="00C264FB"/>
    <w:rsid w:val="00C26BE5"/>
    <w:rsid w:val="00C26E4D"/>
    <w:rsid w:val="00C27909"/>
    <w:rsid w:val="00C27B03"/>
    <w:rsid w:val="00C3033D"/>
    <w:rsid w:val="00C314E1"/>
    <w:rsid w:val="00C3374C"/>
    <w:rsid w:val="00C34397"/>
    <w:rsid w:val="00C35149"/>
    <w:rsid w:val="00C3788B"/>
    <w:rsid w:val="00C40254"/>
    <w:rsid w:val="00C404BB"/>
    <w:rsid w:val="00C40653"/>
    <w:rsid w:val="00C4095D"/>
    <w:rsid w:val="00C415C6"/>
    <w:rsid w:val="00C427FD"/>
    <w:rsid w:val="00C458A7"/>
    <w:rsid w:val="00C51BA5"/>
    <w:rsid w:val="00C51E99"/>
    <w:rsid w:val="00C53D51"/>
    <w:rsid w:val="00C5572A"/>
    <w:rsid w:val="00C55ED7"/>
    <w:rsid w:val="00C601D2"/>
    <w:rsid w:val="00C61F4F"/>
    <w:rsid w:val="00C63979"/>
    <w:rsid w:val="00C63F24"/>
    <w:rsid w:val="00C657DA"/>
    <w:rsid w:val="00C65BCC"/>
    <w:rsid w:val="00C66970"/>
    <w:rsid w:val="00C70F10"/>
    <w:rsid w:val="00C71644"/>
    <w:rsid w:val="00C738D2"/>
    <w:rsid w:val="00C74332"/>
    <w:rsid w:val="00C76368"/>
    <w:rsid w:val="00C82306"/>
    <w:rsid w:val="00C82685"/>
    <w:rsid w:val="00C84EA0"/>
    <w:rsid w:val="00C85C1F"/>
    <w:rsid w:val="00C8691C"/>
    <w:rsid w:val="00C869E5"/>
    <w:rsid w:val="00C87D7B"/>
    <w:rsid w:val="00C90CDF"/>
    <w:rsid w:val="00C92EB8"/>
    <w:rsid w:val="00CA0B32"/>
    <w:rsid w:val="00CA168A"/>
    <w:rsid w:val="00CA2298"/>
    <w:rsid w:val="00CA357E"/>
    <w:rsid w:val="00CA44F9"/>
    <w:rsid w:val="00CA4A69"/>
    <w:rsid w:val="00CA4BC7"/>
    <w:rsid w:val="00CA561A"/>
    <w:rsid w:val="00CA5691"/>
    <w:rsid w:val="00CA654B"/>
    <w:rsid w:val="00CB1471"/>
    <w:rsid w:val="00CB209D"/>
    <w:rsid w:val="00CB2312"/>
    <w:rsid w:val="00CB333B"/>
    <w:rsid w:val="00CB564C"/>
    <w:rsid w:val="00CB6EF7"/>
    <w:rsid w:val="00CB6F74"/>
    <w:rsid w:val="00CC04AE"/>
    <w:rsid w:val="00CC0C1C"/>
    <w:rsid w:val="00CC1A50"/>
    <w:rsid w:val="00CC2C5F"/>
    <w:rsid w:val="00CC356D"/>
    <w:rsid w:val="00CC3E0C"/>
    <w:rsid w:val="00CC5509"/>
    <w:rsid w:val="00CC58D3"/>
    <w:rsid w:val="00CC5D08"/>
    <w:rsid w:val="00CC6536"/>
    <w:rsid w:val="00CC784D"/>
    <w:rsid w:val="00CD3D59"/>
    <w:rsid w:val="00CD4E9F"/>
    <w:rsid w:val="00CD73E3"/>
    <w:rsid w:val="00CD79E3"/>
    <w:rsid w:val="00CD7EAF"/>
    <w:rsid w:val="00CE5142"/>
    <w:rsid w:val="00CF1F10"/>
    <w:rsid w:val="00CF211B"/>
    <w:rsid w:val="00CF2F99"/>
    <w:rsid w:val="00CF4D3D"/>
    <w:rsid w:val="00CF7379"/>
    <w:rsid w:val="00D018B3"/>
    <w:rsid w:val="00D023F0"/>
    <w:rsid w:val="00D02430"/>
    <w:rsid w:val="00D03190"/>
    <w:rsid w:val="00D0337B"/>
    <w:rsid w:val="00D035B0"/>
    <w:rsid w:val="00D05929"/>
    <w:rsid w:val="00D05CA5"/>
    <w:rsid w:val="00D06A11"/>
    <w:rsid w:val="00D07452"/>
    <w:rsid w:val="00D079B2"/>
    <w:rsid w:val="00D114E9"/>
    <w:rsid w:val="00D11626"/>
    <w:rsid w:val="00D11D52"/>
    <w:rsid w:val="00D12110"/>
    <w:rsid w:val="00D14187"/>
    <w:rsid w:val="00D14A43"/>
    <w:rsid w:val="00D1580C"/>
    <w:rsid w:val="00D15EA8"/>
    <w:rsid w:val="00D16B9E"/>
    <w:rsid w:val="00D21BDB"/>
    <w:rsid w:val="00D236F0"/>
    <w:rsid w:val="00D240ED"/>
    <w:rsid w:val="00D24BA3"/>
    <w:rsid w:val="00D26826"/>
    <w:rsid w:val="00D27DB9"/>
    <w:rsid w:val="00D303F3"/>
    <w:rsid w:val="00D332AF"/>
    <w:rsid w:val="00D333D1"/>
    <w:rsid w:val="00D41A34"/>
    <w:rsid w:val="00D429C6"/>
    <w:rsid w:val="00D4602B"/>
    <w:rsid w:val="00D46CA0"/>
    <w:rsid w:val="00D4714A"/>
    <w:rsid w:val="00D47748"/>
    <w:rsid w:val="00D517A4"/>
    <w:rsid w:val="00D5191E"/>
    <w:rsid w:val="00D5227F"/>
    <w:rsid w:val="00D52E76"/>
    <w:rsid w:val="00D53549"/>
    <w:rsid w:val="00D54CC3"/>
    <w:rsid w:val="00D54D1D"/>
    <w:rsid w:val="00D57CA1"/>
    <w:rsid w:val="00D6041A"/>
    <w:rsid w:val="00D627BE"/>
    <w:rsid w:val="00D633EB"/>
    <w:rsid w:val="00D63689"/>
    <w:rsid w:val="00D639E5"/>
    <w:rsid w:val="00D6782B"/>
    <w:rsid w:val="00D67EEA"/>
    <w:rsid w:val="00D70A9B"/>
    <w:rsid w:val="00D71156"/>
    <w:rsid w:val="00D71E23"/>
    <w:rsid w:val="00D72633"/>
    <w:rsid w:val="00D77A1E"/>
    <w:rsid w:val="00D82FDA"/>
    <w:rsid w:val="00D82FF7"/>
    <w:rsid w:val="00D847FE"/>
    <w:rsid w:val="00D85276"/>
    <w:rsid w:val="00D873EC"/>
    <w:rsid w:val="00D94FBE"/>
    <w:rsid w:val="00D964EA"/>
    <w:rsid w:val="00D966D0"/>
    <w:rsid w:val="00DA0BF7"/>
    <w:rsid w:val="00DA0C59"/>
    <w:rsid w:val="00DA28D5"/>
    <w:rsid w:val="00DA3991"/>
    <w:rsid w:val="00DA5237"/>
    <w:rsid w:val="00DA5696"/>
    <w:rsid w:val="00DA5EC3"/>
    <w:rsid w:val="00DA6BBD"/>
    <w:rsid w:val="00DB0990"/>
    <w:rsid w:val="00DB4641"/>
    <w:rsid w:val="00DB5137"/>
    <w:rsid w:val="00DB5206"/>
    <w:rsid w:val="00DB5A71"/>
    <w:rsid w:val="00DB6A5F"/>
    <w:rsid w:val="00DB7AC1"/>
    <w:rsid w:val="00DB7E6C"/>
    <w:rsid w:val="00DC11DA"/>
    <w:rsid w:val="00DC2478"/>
    <w:rsid w:val="00DC3ECD"/>
    <w:rsid w:val="00DD390D"/>
    <w:rsid w:val="00DD45CC"/>
    <w:rsid w:val="00DD4D70"/>
    <w:rsid w:val="00DD5A29"/>
    <w:rsid w:val="00DD5D9D"/>
    <w:rsid w:val="00DD75D1"/>
    <w:rsid w:val="00DD773E"/>
    <w:rsid w:val="00DE0572"/>
    <w:rsid w:val="00DE1426"/>
    <w:rsid w:val="00DE35CB"/>
    <w:rsid w:val="00DE4EF0"/>
    <w:rsid w:val="00DE59D0"/>
    <w:rsid w:val="00DF18F4"/>
    <w:rsid w:val="00DF21E9"/>
    <w:rsid w:val="00DF4821"/>
    <w:rsid w:val="00DF5A2D"/>
    <w:rsid w:val="00DF7042"/>
    <w:rsid w:val="00DF7E07"/>
    <w:rsid w:val="00E0024A"/>
    <w:rsid w:val="00E00F14"/>
    <w:rsid w:val="00E021F2"/>
    <w:rsid w:val="00E02FD4"/>
    <w:rsid w:val="00E037EF"/>
    <w:rsid w:val="00E06386"/>
    <w:rsid w:val="00E07398"/>
    <w:rsid w:val="00E11ABB"/>
    <w:rsid w:val="00E11C4B"/>
    <w:rsid w:val="00E20493"/>
    <w:rsid w:val="00E21984"/>
    <w:rsid w:val="00E23406"/>
    <w:rsid w:val="00E24EB4"/>
    <w:rsid w:val="00E320ED"/>
    <w:rsid w:val="00E33AFB"/>
    <w:rsid w:val="00E34218"/>
    <w:rsid w:val="00E34A84"/>
    <w:rsid w:val="00E36D0B"/>
    <w:rsid w:val="00E37A8B"/>
    <w:rsid w:val="00E37F0D"/>
    <w:rsid w:val="00E40634"/>
    <w:rsid w:val="00E41915"/>
    <w:rsid w:val="00E43F5F"/>
    <w:rsid w:val="00E46282"/>
    <w:rsid w:val="00E5216E"/>
    <w:rsid w:val="00E530CB"/>
    <w:rsid w:val="00E54959"/>
    <w:rsid w:val="00E564B1"/>
    <w:rsid w:val="00E56B04"/>
    <w:rsid w:val="00E5751B"/>
    <w:rsid w:val="00E60285"/>
    <w:rsid w:val="00E627B4"/>
    <w:rsid w:val="00E6301E"/>
    <w:rsid w:val="00E67407"/>
    <w:rsid w:val="00E7606C"/>
    <w:rsid w:val="00E778A5"/>
    <w:rsid w:val="00E82344"/>
    <w:rsid w:val="00E82476"/>
    <w:rsid w:val="00E84C16"/>
    <w:rsid w:val="00E84C82"/>
    <w:rsid w:val="00E84D64"/>
    <w:rsid w:val="00E86931"/>
    <w:rsid w:val="00E87408"/>
    <w:rsid w:val="00E87F1C"/>
    <w:rsid w:val="00E90811"/>
    <w:rsid w:val="00E914C4"/>
    <w:rsid w:val="00E934F5"/>
    <w:rsid w:val="00E95789"/>
    <w:rsid w:val="00E96961"/>
    <w:rsid w:val="00EA0917"/>
    <w:rsid w:val="00EA1637"/>
    <w:rsid w:val="00EA3EB7"/>
    <w:rsid w:val="00EA3F3F"/>
    <w:rsid w:val="00EA5717"/>
    <w:rsid w:val="00EA57B5"/>
    <w:rsid w:val="00EA65BD"/>
    <w:rsid w:val="00EA6E0D"/>
    <w:rsid w:val="00EA72EC"/>
    <w:rsid w:val="00EA75C1"/>
    <w:rsid w:val="00EA7769"/>
    <w:rsid w:val="00EA7BF8"/>
    <w:rsid w:val="00EB001E"/>
    <w:rsid w:val="00EB11CB"/>
    <w:rsid w:val="00EB275A"/>
    <w:rsid w:val="00EB3CE4"/>
    <w:rsid w:val="00EB4293"/>
    <w:rsid w:val="00EB786A"/>
    <w:rsid w:val="00EC0979"/>
    <w:rsid w:val="00EC1578"/>
    <w:rsid w:val="00EC18D1"/>
    <w:rsid w:val="00EC1C72"/>
    <w:rsid w:val="00EC3CC9"/>
    <w:rsid w:val="00EC680A"/>
    <w:rsid w:val="00EC6A37"/>
    <w:rsid w:val="00EC7987"/>
    <w:rsid w:val="00EC7BA3"/>
    <w:rsid w:val="00ED160A"/>
    <w:rsid w:val="00ED350A"/>
    <w:rsid w:val="00ED51AD"/>
    <w:rsid w:val="00ED5EA9"/>
    <w:rsid w:val="00ED7289"/>
    <w:rsid w:val="00EE2BED"/>
    <w:rsid w:val="00EE374B"/>
    <w:rsid w:val="00EE4984"/>
    <w:rsid w:val="00EE7AA9"/>
    <w:rsid w:val="00EF3022"/>
    <w:rsid w:val="00EF3604"/>
    <w:rsid w:val="00F01516"/>
    <w:rsid w:val="00F046CF"/>
    <w:rsid w:val="00F062F6"/>
    <w:rsid w:val="00F06D4D"/>
    <w:rsid w:val="00F074BC"/>
    <w:rsid w:val="00F11BB5"/>
    <w:rsid w:val="00F11E00"/>
    <w:rsid w:val="00F14020"/>
    <w:rsid w:val="00F1417B"/>
    <w:rsid w:val="00F15202"/>
    <w:rsid w:val="00F16776"/>
    <w:rsid w:val="00F22D43"/>
    <w:rsid w:val="00F238FF"/>
    <w:rsid w:val="00F30668"/>
    <w:rsid w:val="00F32D6F"/>
    <w:rsid w:val="00F34B99"/>
    <w:rsid w:val="00F404D3"/>
    <w:rsid w:val="00F44380"/>
    <w:rsid w:val="00F479EC"/>
    <w:rsid w:val="00F47D6B"/>
    <w:rsid w:val="00F52562"/>
    <w:rsid w:val="00F52DAB"/>
    <w:rsid w:val="00F543F0"/>
    <w:rsid w:val="00F57341"/>
    <w:rsid w:val="00F60D14"/>
    <w:rsid w:val="00F6244B"/>
    <w:rsid w:val="00F6326B"/>
    <w:rsid w:val="00F63902"/>
    <w:rsid w:val="00F63CED"/>
    <w:rsid w:val="00F71A0A"/>
    <w:rsid w:val="00F72CB0"/>
    <w:rsid w:val="00F7440B"/>
    <w:rsid w:val="00F759DB"/>
    <w:rsid w:val="00F75B0A"/>
    <w:rsid w:val="00F761B4"/>
    <w:rsid w:val="00F77E07"/>
    <w:rsid w:val="00F81D29"/>
    <w:rsid w:val="00F85D6A"/>
    <w:rsid w:val="00F87F5C"/>
    <w:rsid w:val="00F908CF"/>
    <w:rsid w:val="00F91C4D"/>
    <w:rsid w:val="00F92FD9"/>
    <w:rsid w:val="00F94042"/>
    <w:rsid w:val="00F94BD9"/>
    <w:rsid w:val="00F95BC9"/>
    <w:rsid w:val="00FA09AA"/>
    <w:rsid w:val="00FA486D"/>
    <w:rsid w:val="00FA6684"/>
    <w:rsid w:val="00FA731E"/>
    <w:rsid w:val="00FB24C0"/>
    <w:rsid w:val="00FB2B38"/>
    <w:rsid w:val="00FC14A9"/>
    <w:rsid w:val="00FC27D4"/>
    <w:rsid w:val="00FC2CE9"/>
    <w:rsid w:val="00FC4944"/>
    <w:rsid w:val="00FC561E"/>
    <w:rsid w:val="00FC6358"/>
    <w:rsid w:val="00FC7221"/>
    <w:rsid w:val="00FD01CF"/>
    <w:rsid w:val="00FD0A4C"/>
    <w:rsid w:val="00FD0E1B"/>
    <w:rsid w:val="00FD1F9D"/>
    <w:rsid w:val="00FD307E"/>
    <w:rsid w:val="00FD320D"/>
    <w:rsid w:val="00FD43E3"/>
    <w:rsid w:val="00FD501F"/>
    <w:rsid w:val="00FD5A75"/>
    <w:rsid w:val="00FE0A2B"/>
    <w:rsid w:val="00FE23DE"/>
    <w:rsid w:val="00FE480A"/>
    <w:rsid w:val="00FE53D7"/>
    <w:rsid w:val="00FE69DB"/>
    <w:rsid w:val="00FE6D3C"/>
    <w:rsid w:val="00FF092A"/>
    <w:rsid w:val="00FF0D57"/>
    <w:rsid w:val="00FF15EB"/>
    <w:rsid w:val="00FF3B68"/>
    <w:rsid w:val="00FF61B0"/>
    <w:rsid w:val="048B3B05"/>
    <w:rsid w:val="06D56A27"/>
    <w:rsid w:val="08AF34D0"/>
    <w:rsid w:val="0AB44CA5"/>
    <w:rsid w:val="0BEF2BE8"/>
    <w:rsid w:val="0E32760B"/>
    <w:rsid w:val="109E0689"/>
    <w:rsid w:val="10B35166"/>
    <w:rsid w:val="12840C68"/>
    <w:rsid w:val="134411A4"/>
    <w:rsid w:val="14662040"/>
    <w:rsid w:val="15F23810"/>
    <w:rsid w:val="179B7797"/>
    <w:rsid w:val="1AD56879"/>
    <w:rsid w:val="1BF46BE6"/>
    <w:rsid w:val="1C326485"/>
    <w:rsid w:val="1C597E6F"/>
    <w:rsid w:val="1C8D74DF"/>
    <w:rsid w:val="1D184732"/>
    <w:rsid w:val="2164291F"/>
    <w:rsid w:val="21754E02"/>
    <w:rsid w:val="22463B43"/>
    <w:rsid w:val="228354F3"/>
    <w:rsid w:val="239353C9"/>
    <w:rsid w:val="2470481F"/>
    <w:rsid w:val="25180B4D"/>
    <w:rsid w:val="259313E3"/>
    <w:rsid w:val="27E35499"/>
    <w:rsid w:val="2C4F66AE"/>
    <w:rsid w:val="2D49143F"/>
    <w:rsid w:val="2EA54D18"/>
    <w:rsid w:val="2EAC2B15"/>
    <w:rsid w:val="2F67042C"/>
    <w:rsid w:val="2FD76954"/>
    <w:rsid w:val="30C9534B"/>
    <w:rsid w:val="30FC3977"/>
    <w:rsid w:val="318F6C57"/>
    <w:rsid w:val="322506DD"/>
    <w:rsid w:val="33856B27"/>
    <w:rsid w:val="33DB182A"/>
    <w:rsid w:val="341C3194"/>
    <w:rsid w:val="343E1541"/>
    <w:rsid w:val="347F68E7"/>
    <w:rsid w:val="34D233EE"/>
    <w:rsid w:val="35F21ABA"/>
    <w:rsid w:val="37265E54"/>
    <w:rsid w:val="3CFE194B"/>
    <w:rsid w:val="3E633821"/>
    <w:rsid w:val="41ED146F"/>
    <w:rsid w:val="42397FAA"/>
    <w:rsid w:val="43960073"/>
    <w:rsid w:val="44D33CB6"/>
    <w:rsid w:val="464B06CB"/>
    <w:rsid w:val="488E383C"/>
    <w:rsid w:val="4995314D"/>
    <w:rsid w:val="4A21514E"/>
    <w:rsid w:val="4A705553"/>
    <w:rsid w:val="4AB40403"/>
    <w:rsid w:val="4AE11487"/>
    <w:rsid w:val="4B0952C1"/>
    <w:rsid w:val="4BD64C9E"/>
    <w:rsid w:val="4C24442B"/>
    <w:rsid w:val="4E515708"/>
    <w:rsid w:val="4EA9480D"/>
    <w:rsid w:val="506B479C"/>
    <w:rsid w:val="516161A4"/>
    <w:rsid w:val="523B5AD7"/>
    <w:rsid w:val="527B32DC"/>
    <w:rsid w:val="54AE73D9"/>
    <w:rsid w:val="55821CB6"/>
    <w:rsid w:val="57B76EAC"/>
    <w:rsid w:val="589828C3"/>
    <w:rsid w:val="58AE6669"/>
    <w:rsid w:val="58CA61C1"/>
    <w:rsid w:val="5AD01207"/>
    <w:rsid w:val="5CB7136F"/>
    <w:rsid w:val="5D192C27"/>
    <w:rsid w:val="5D327730"/>
    <w:rsid w:val="5E563175"/>
    <w:rsid w:val="5E797A9F"/>
    <w:rsid w:val="5F9A2AC2"/>
    <w:rsid w:val="603661A4"/>
    <w:rsid w:val="6048770A"/>
    <w:rsid w:val="618051ED"/>
    <w:rsid w:val="62197F39"/>
    <w:rsid w:val="62A45A7A"/>
    <w:rsid w:val="63B34B5C"/>
    <w:rsid w:val="65A010F8"/>
    <w:rsid w:val="66F47F9A"/>
    <w:rsid w:val="67746ED2"/>
    <w:rsid w:val="6982109A"/>
    <w:rsid w:val="69831126"/>
    <w:rsid w:val="6B7114C3"/>
    <w:rsid w:val="6C0A6EC5"/>
    <w:rsid w:val="6DB82093"/>
    <w:rsid w:val="70F008E8"/>
    <w:rsid w:val="713103D6"/>
    <w:rsid w:val="71460A0E"/>
    <w:rsid w:val="757C0541"/>
    <w:rsid w:val="760A36F3"/>
    <w:rsid w:val="77A36108"/>
    <w:rsid w:val="77E51C95"/>
    <w:rsid w:val="78546AFD"/>
    <w:rsid w:val="795410AB"/>
    <w:rsid w:val="7B1612B6"/>
    <w:rsid w:val="7BE142C3"/>
    <w:rsid w:val="7CC111C0"/>
    <w:rsid w:val="7D094539"/>
    <w:rsid w:val="7D77713C"/>
    <w:rsid w:val="7DA1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6"/>
    <w:qFormat/>
    <w:uiPriority w:val="0"/>
    <w:pPr>
      <w:keepNext/>
      <w:keepLines/>
      <w:spacing w:before="340" w:after="330" w:line="578" w:lineRule="auto"/>
      <w:outlineLvl w:val="0"/>
    </w:pPr>
    <w:rPr>
      <w:b/>
      <w:bCs/>
      <w:kern w:val="44"/>
      <w:sz w:val="44"/>
      <w:szCs w:val="44"/>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39"/>
    <w:pPr>
      <w:tabs>
        <w:tab w:val="right" w:leader="dot" w:pos="9241"/>
      </w:tabs>
      <w:ind w:firstLine="500"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152"/>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qFormat/>
    <w:uiPriority w:val="39"/>
    <w:pPr>
      <w:tabs>
        <w:tab w:val="right" w:leader="dot" w:pos="9241"/>
      </w:tabs>
      <w:ind w:firstLine="300" w:firstLineChars="300"/>
      <w:jc w:val="left"/>
    </w:pPr>
    <w:rPr>
      <w:rFonts w:ascii="宋体"/>
      <w:szCs w:val="21"/>
    </w:rPr>
  </w:style>
  <w:style w:type="paragraph" w:styleId="12">
    <w:name w:val="toc 3"/>
    <w:basedOn w:val="1"/>
    <w:next w:val="1"/>
    <w:qFormat/>
    <w:uiPriority w:val="39"/>
    <w:pPr>
      <w:tabs>
        <w:tab w:val="right" w:leader="dot" w:pos="9241"/>
      </w:tabs>
      <w:ind w:firstLine="100" w:firstLineChars="100"/>
      <w:jc w:val="left"/>
    </w:pPr>
    <w:rPr>
      <w:rFonts w:ascii="宋体"/>
      <w:szCs w:val="21"/>
    </w:rPr>
  </w:style>
  <w:style w:type="paragraph" w:styleId="13">
    <w:name w:val="toc 8"/>
    <w:basedOn w:val="1"/>
    <w:next w:val="1"/>
    <w:qFormat/>
    <w:uiPriority w:val="39"/>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9"/>
    <w:qFormat/>
    <w:uiPriority w:val="0"/>
    <w:pPr>
      <w:ind w:left="100" w:leftChars="2500"/>
    </w:pPr>
  </w:style>
  <w:style w:type="paragraph" w:styleId="16">
    <w:name w:val="endnote text"/>
    <w:basedOn w:val="1"/>
    <w:semiHidden/>
    <w:qFormat/>
    <w:uiPriority w:val="0"/>
    <w:pPr>
      <w:snapToGrid w:val="0"/>
      <w:jc w:val="left"/>
    </w:pPr>
  </w:style>
  <w:style w:type="paragraph" w:styleId="17">
    <w:name w:val="Balloon Text"/>
    <w:basedOn w:val="1"/>
    <w:link w:val="153"/>
    <w:qFormat/>
    <w:uiPriority w:val="0"/>
    <w:rPr>
      <w:sz w:val="18"/>
      <w:szCs w:val="18"/>
    </w:rPr>
  </w:style>
  <w:style w:type="paragraph" w:styleId="18">
    <w:name w:val="footer"/>
    <w:basedOn w:val="1"/>
    <w:link w:val="144"/>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Lines="25" w:afterLines="25"/>
      <w:jc w:val="left"/>
    </w:pPr>
    <w:rPr>
      <w:rFonts w:ascii="宋体"/>
      <w:szCs w:val="21"/>
    </w:rPr>
  </w:style>
  <w:style w:type="paragraph" w:styleId="21">
    <w:name w:val="toc 4"/>
    <w:basedOn w:val="1"/>
    <w:next w:val="1"/>
    <w:qFormat/>
    <w:uiPriority w:val="39"/>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39"/>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2"/>
      </w:tabs>
    </w:pPr>
    <w:rPr>
      <w:rFonts w:ascii="宋体"/>
      <w:szCs w:val="21"/>
    </w:rPr>
  </w:style>
  <w:style w:type="paragraph" w:styleId="30">
    <w:name w:val="toc 9"/>
    <w:basedOn w:val="1"/>
    <w:next w:val="1"/>
    <w:qFormat/>
    <w:uiPriority w:val="39"/>
    <w:pPr>
      <w:ind w:left="1470"/>
      <w:jc w:val="left"/>
    </w:pPr>
    <w:rPr>
      <w:sz w:val="20"/>
      <w:szCs w:val="20"/>
    </w:rPr>
  </w:style>
  <w:style w:type="paragraph" w:styleId="31">
    <w:name w:val="Body Text 2"/>
    <w:basedOn w:val="1"/>
    <w:link w:val="150"/>
    <w:qFormat/>
    <w:uiPriority w:val="0"/>
    <w:pPr>
      <w:adjustRightInd w:val="0"/>
      <w:spacing w:line="360" w:lineRule="auto"/>
    </w:pPr>
    <w:rPr>
      <w:rFonts w:ascii="宋体" w:hAnsi="宋体"/>
      <w:color w:val="FF6600"/>
      <w:kern w:val="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paragraph" w:styleId="34">
    <w:name w:val="annotation subject"/>
    <w:basedOn w:val="8"/>
    <w:next w:val="8"/>
    <w:link w:val="148"/>
    <w:qFormat/>
    <w:uiPriority w:val="0"/>
    <w:rPr>
      <w:b/>
      <w:bCs/>
    </w:rPr>
  </w:style>
  <w:style w:type="table" w:styleId="36">
    <w:name w:val="Table Grid"/>
    <w:basedOn w:val="3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7">
    <w:name w:val="Table Theme"/>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r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lang w:val="en-US" w:eastAsia="zh-CN"/>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paragraph" w:customStyle="1" w:styleId="46">
    <w:name w:val="三级条标题"/>
    <w:basedOn w:val="47"/>
    <w:next w:val="24"/>
    <w:qFormat/>
    <w:uiPriority w:val="0"/>
    <w:pPr>
      <w:ind w:left="0"/>
      <w:outlineLvl w:val="4"/>
    </w:pPr>
  </w:style>
  <w:style w:type="paragraph" w:customStyle="1" w:styleId="47">
    <w:name w:val="二级条标题"/>
    <w:basedOn w:val="48"/>
    <w:next w:val="24"/>
    <w:qFormat/>
    <w:uiPriority w:val="0"/>
    <w:pPr>
      <w:spacing w:before="50" w:after="50"/>
      <w:ind w:left="284"/>
      <w:outlineLvl w:val="3"/>
    </w:pPr>
  </w:style>
  <w:style w:type="paragraph" w:customStyle="1" w:styleId="48">
    <w:name w:val="一级条标题"/>
    <w:next w:val="24"/>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9">
    <w:name w:val="附录公式"/>
    <w:basedOn w:val="24"/>
    <w:next w:val="24"/>
    <w:link w:val="147"/>
    <w:qFormat/>
    <w:uiPriority w:val="0"/>
  </w:style>
  <w:style w:type="paragraph" w:customStyle="1" w:styleId="50">
    <w:name w:val="附录三级无"/>
    <w:basedOn w:val="51"/>
    <w:qFormat/>
    <w:uiPriority w:val="0"/>
    <w:pPr>
      <w:tabs>
        <w:tab w:val="left" w:pos="360"/>
      </w:tabs>
      <w:spacing w:beforeLines="0" w:afterLines="0"/>
    </w:pPr>
    <w:rPr>
      <w:rFonts w:ascii="宋体" w:eastAsia="宋体"/>
      <w:szCs w:val="21"/>
    </w:rPr>
  </w:style>
  <w:style w:type="paragraph" w:customStyle="1" w:styleId="51">
    <w:name w:val="附录三级条标题"/>
    <w:basedOn w:val="52"/>
    <w:next w:val="24"/>
    <w:qFormat/>
    <w:uiPriority w:val="0"/>
    <w:pPr>
      <w:tabs>
        <w:tab w:val="left" w:pos="360"/>
      </w:tabs>
      <w:outlineLvl w:val="4"/>
    </w:pPr>
  </w:style>
  <w:style w:type="paragraph" w:customStyle="1" w:styleId="52">
    <w:name w:val="附录二级条标题"/>
    <w:basedOn w:val="1"/>
    <w:next w:val="24"/>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3">
    <w:name w:val="附录一级条标题"/>
    <w:basedOn w:val="54"/>
    <w:next w:val="24"/>
    <w:qFormat/>
    <w:uiPriority w:val="0"/>
    <w:pPr>
      <w:numPr>
        <w:ilvl w:val="0"/>
        <w:numId w:val="0"/>
      </w:numPr>
      <w:tabs>
        <w:tab w:val="left" w:pos="360"/>
      </w:tabs>
      <w:autoSpaceDN w:val="0"/>
      <w:spacing w:beforeLines="50" w:afterLines="50"/>
      <w:outlineLvl w:val="2"/>
    </w:pPr>
  </w:style>
  <w:style w:type="paragraph" w:customStyle="1" w:styleId="54">
    <w:name w:val="附录章标题"/>
    <w:next w:val="24"/>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5">
    <w:name w:val="正文图标题"/>
    <w:next w:val="24"/>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56">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7">
    <w:name w:val="附录五级无"/>
    <w:basedOn w:val="58"/>
    <w:qFormat/>
    <w:uiPriority w:val="0"/>
    <w:pPr>
      <w:tabs>
        <w:tab w:val="left" w:pos="360"/>
      </w:tabs>
      <w:spacing w:beforeLines="0" w:afterLines="0"/>
    </w:pPr>
    <w:rPr>
      <w:rFonts w:ascii="宋体" w:eastAsia="宋体"/>
      <w:szCs w:val="21"/>
    </w:rPr>
  </w:style>
  <w:style w:type="paragraph" w:customStyle="1" w:styleId="58">
    <w:name w:val="附录五级条标题"/>
    <w:basedOn w:val="59"/>
    <w:next w:val="24"/>
    <w:qFormat/>
    <w:uiPriority w:val="0"/>
    <w:pPr>
      <w:tabs>
        <w:tab w:val="left" w:pos="360"/>
      </w:tabs>
      <w:outlineLvl w:val="6"/>
    </w:pPr>
  </w:style>
  <w:style w:type="paragraph" w:customStyle="1" w:styleId="59">
    <w:name w:val="附录四级条标题"/>
    <w:basedOn w:val="51"/>
    <w:next w:val="24"/>
    <w:qFormat/>
    <w:uiPriority w:val="0"/>
    <w:pPr>
      <w:outlineLvl w:val="5"/>
    </w:pPr>
  </w:style>
  <w:style w:type="paragraph" w:customStyle="1" w:styleId="60">
    <w:name w:val="_Style 58"/>
    <w:basedOn w:val="1"/>
    <w:qFormat/>
    <w:uiPriority w:val="34"/>
    <w:pPr>
      <w:ind w:left="480" w:leftChars="200"/>
      <w:jc w:val="left"/>
    </w:pPr>
    <w:rPr>
      <w:rFonts w:ascii="Calibri" w:hAnsi="Calibri" w:eastAsia="PMingLiU"/>
      <w:sz w:val="24"/>
      <w:szCs w:val="22"/>
      <w:lang w:eastAsia="zh-TW"/>
    </w:rPr>
  </w:style>
  <w:style w:type="paragraph" w:customStyle="1" w:styleId="61">
    <w:name w:val="附录一级无"/>
    <w:basedOn w:val="53"/>
    <w:qFormat/>
    <w:uiPriority w:val="0"/>
    <w:pPr>
      <w:spacing w:beforeLines="0" w:afterLines="0"/>
    </w:pPr>
    <w:rPr>
      <w:rFonts w:ascii="宋体" w:eastAsia="宋体"/>
      <w:szCs w:val="21"/>
    </w:rPr>
  </w:style>
  <w:style w:type="paragraph" w:customStyle="1" w:styleId="62">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3">
    <w:name w:val="注：（正文）"/>
    <w:basedOn w:val="64"/>
    <w:next w:val="24"/>
    <w:qFormat/>
    <w:uiPriority w:val="0"/>
    <w:pPr>
      <w:numPr>
        <w:ilvl w:val="0"/>
        <w:numId w:val="5"/>
      </w:numPr>
    </w:pPr>
  </w:style>
  <w:style w:type="paragraph" w:customStyle="1" w:styleId="64">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图标脚注说明"/>
    <w:basedOn w:val="24"/>
    <w:qFormat/>
    <w:uiPriority w:val="0"/>
    <w:pPr>
      <w:ind w:left="840" w:hanging="420" w:firstLineChars="0"/>
    </w:pPr>
    <w:rPr>
      <w:sz w:val="18"/>
      <w:szCs w:val="18"/>
    </w:rPr>
  </w:style>
  <w:style w:type="paragraph" w:customStyle="1" w:styleId="6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封面一致性程度标识2"/>
    <w:basedOn w:val="70"/>
    <w:qFormat/>
    <w:uiPriority w:val="0"/>
    <w:pPr>
      <w:framePr w:wrap="around" w:y="4469"/>
    </w:pPr>
  </w:style>
  <w:style w:type="paragraph" w:customStyle="1" w:styleId="70">
    <w:name w:val="封面一致性程度标识"/>
    <w:basedOn w:val="71"/>
    <w:qFormat/>
    <w:uiPriority w:val="0"/>
    <w:pPr>
      <w:framePr w:wrap="around"/>
      <w:spacing w:before="440"/>
    </w:pPr>
    <w:rPr>
      <w:rFonts w:ascii="宋体" w:eastAsia="宋体"/>
    </w:rPr>
  </w:style>
  <w:style w:type="paragraph" w:customStyle="1" w:styleId="71">
    <w:name w:val="封面标准英文名称"/>
    <w:basedOn w:val="72"/>
    <w:qFormat/>
    <w:uiPriority w:val="0"/>
    <w:pPr>
      <w:framePr w:wrap="around"/>
      <w:spacing w:before="370" w:line="400" w:lineRule="exact"/>
    </w:pPr>
    <w:rPr>
      <w:rFonts w:ascii="Times New Roman"/>
      <w:sz w:val="28"/>
      <w:szCs w:val="28"/>
    </w:rPr>
  </w:style>
  <w:style w:type="paragraph" w:customStyle="1" w:styleId="7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附录数字编号列项（二级）"/>
    <w:qFormat/>
    <w:uiPriority w:val="0"/>
    <w:pPr>
      <w:numPr>
        <w:ilvl w:val="1"/>
        <w:numId w:val="7"/>
      </w:numPr>
    </w:pPr>
    <w:rPr>
      <w:rFonts w:ascii="宋体" w:hAnsi="Times New Roman" w:eastAsia="宋体" w:cs="Times New Roman"/>
      <w:sz w:val="21"/>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图表脚注说明"/>
    <w:basedOn w:val="1"/>
    <w:qFormat/>
    <w:uiPriority w:val="0"/>
    <w:pPr>
      <w:numPr>
        <w:ilvl w:val="0"/>
        <w:numId w:val="8"/>
      </w:numPr>
    </w:pPr>
    <w:rPr>
      <w:rFonts w:ascii="宋体"/>
      <w:sz w:val="18"/>
      <w:szCs w:val="18"/>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其他发布日期"/>
    <w:basedOn w:val="74"/>
    <w:qFormat/>
    <w:uiPriority w:val="0"/>
    <w:pPr>
      <w:framePr w:wrap="around" w:vAnchor="page" w:hAnchor="text" w:x="1419"/>
    </w:pPr>
  </w:style>
  <w:style w:type="paragraph" w:customStyle="1" w:styleId="7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封面标准文稿类别"/>
    <w:basedOn w:val="70"/>
    <w:qFormat/>
    <w:uiPriority w:val="0"/>
    <w:pPr>
      <w:framePr w:wrap="around"/>
      <w:spacing w:after="160" w:line="240" w:lineRule="auto"/>
    </w:pPr>
    <w:rPr>
      <w:sz w:val="24"/>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文稿类别2"/>
    <w:basedOn w:val="79"/>
    <w:qFormat/>
    <w:uiPriority w:val="0"/>
    <w:pPr>
      <w:framePr w:wrap="around" w:y="4469"/>
    </w:pPr>
  </w:style>
  <w:style w:type="paragraph" w:customStyle="1" w:styleId="82">
    <w:name w:val="附录标题"/>
    <w:basedOn w:val="24"/>
    <w:next w:val="24"/>
    <w:qFormat/>
    <w:uiPriority w:val="0"/>
    <w:pPr>
      <w:ind w:firstLine="0" w:firstLineChars="0"/>
      <w:jc w:val="center"/>
    </w:pPr>
    <w:rPr>
      <w:rFonts w:ascii="黑体" w:eastAsia="黑体"/>
    </w:rPr>
  </w:style>
  <w:style w:type="paragraph" w:customStyle="1" w:styleId="8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4">
    <w:name w:val="四级无"/>
    <w:basedOn w:val="85"/>
    <w:qFormat/>
    <w:uiPriority w:val="0"/>
    <w:pPr>
      <w:spacing w:beforeLines="0" w:afterLines="0"/>
    </w:pPr>
    <w:rPr>
      <w:rFonts w:ascii="宋体" w:eastAsia="宋体"/>
    </w:rPr>
  </w:style>
  <w:style w:type="paragraph" w:customStyle="1" w:styleId="85">
    <w:name w:val="四级条标题"/>
    <w:basedOn w:val="46"/>
    <w:next w:val="24"/>
    <w:qFormat/>
    <w:uiPriority w:val="0"/>
    <w:pPr>
      <w:outlineLvl w:val="5"/>
    </w:pPr>
  </w:style>
  <w:style w:type="paragraph" w:customStyle="1" w:styleId="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7">
    <w:name w:val="附录字母编号列项（一级）"/>
    <w:qFormat/>
    <w:uiPriority w:val="0"/>
    <w:pPr>
      <w:numPr>
        <w:ilvl w:val="0"/>
        <w:numId w:val="7"/>
      </w:numPr>
    </w:pPr>
    <w:rPr>
      <w:rFonts w:ascii="宋体" w:hAnsi="Times New Roman" w:eastAsia="宋体" w:cs="Times New Roman"/>
      <w:sz w:val="21"/>
      <w:lang w:val="en-US" w:eastAsia="zh-CN" w:bidi="ar-SA"/>
    </w:rPr>
  </w:style>
  <w:style w:type="paragraph" w:customStyle="1" w:styleId="88">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其他发布部门"/>
    <w:basedOn w:val="78"/>
    <w:qFormat/>
    <w:uiPriority w:val="0"/>
    <w:pPr>
      <w:framePr w:wrap="around" w:y="15310"/>
      <w:spacing w:line="0" w:lineRule="atLeast"/>
    </w:pPr>
    <w:rPr>
      <w:rFonts w:ascii="黑体" w:eastAsia="黑体"/>
      <w:b w:val="0"/>
    </w:rPr>
  </w:style>
  <w:style w:type="paragraph" w:customStyle="1" w:styleId="90">
    <w:name w:val="实施日期"/>
    <w:basedOn w:val="74"/>
    <w:qFormat/>
    <w:uiPriority w:val="0"/>
    <w:pPr>
      <w:framePr w:wrap="around" w:vAnchor="page" w:hAnchor="text"/>
      <w:jc w:val="right"/>
    </w:pPr>
  </w:style>
  <w:style w:type="paragraph" w:customStyle="1" w:styleId="91">
    <w:name w:val="封面标准名称2"/>
    <w:basedOn w:val="72"/>
    <w:qFormat/>
    <w:uiPriority w:val="0"/>
    <w:pPr>
      <w:framePr w:wrap="around" w:y="4469"/>
      <w:spacing w:beforeLines="630"/>
    </w:pPr>
  </w:style>
  <w:style w:type="paragraph" w:customStyle="1" w:styleId="92">
    <w:name w:val="其他实施日期"/>
    <w:basedOn w:val="90"/>
    <w:qFormat/>
    <w:uiPriority w:val="0"/>
    <w:pPr>
      <w:framePr w:wrap="around"/>
    </w:pPr>
  </w:style>
  <w:style w:type="paragraph" w:customStyle="1" w:styleId="93">
    <w:name w:val="其他标准标志"/>
    <w:basedOn w:val="94"/>
    <w:qFormat/>
    <w:uiPriority w:val="0"/>
    <w:pPr>
      <w:framePr w:w="6101" w:wrap="around" w:vAnchor="page" w:hAnchor="page" w:x="4673" w:y="942"/>
    </w:pPr>
    <w:rPr>
      <w:w w:val="130"/>
    </w:rPr>
  </w:style>
  <w:style w:type="paragraph" w:customStyle="1" w:styleId="9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5">
    <w:name w:val="二级无"/>
    <w:basedOn w:val="47"/>
    <w:qFormat/>
    <w:uiPriority w:val="0"/>
    <w:pPr>
      <w:spacing w:beforeLines="0" w:afterLines="0"/>
      <w:ind w:left="0"/>
    </w:pPr>
    <w:rPr>
      <w:rFonts w:ascii="宋体" w:eastAsia="宋体"/>
    </w:rPr>
  </w:style>
  <w:style w:type="paragraph" w:customStyle="1" w:styleId="96">
    <w:name w:val="字母编号列项（一级）"/>
    <w:qFormat/>
    <w:uiPriority w:val="0"/>
    <w:pPr>
      <w:numPr>
        <w:ilvl w:val="0"/>
        <w:numId w:val="9"/>
      </w:numPr>
      <w:jc w:val="both"/>
    </w:pPr>
    <w:rPr>
      <w:rFonts w:ascii="宋体" w:hAnsi="Times New Roman" w:eastAsia="宋体" w:cs="Times New Roman"/>
      <w:sz w:val="21"/>
      <w:lang w:val="en-US" w:eastAsia="zh-CN" w:bidi="ar-SA"/>
    </w:rPr>
  </w:style>
  <w:style w:type="paragraph" w:customStyle="1" w:styleId="97">
    <w:name w:val="章标题"/>
    <w:next w:val="24"/>
    <w:qFormat/>
    <w:uiPriority w:val="0"/>
    <w:pPr>
      <w:numPr>
        <w:ilvl w:val="0"/>
        <w:numId w:val="10"/>
      </w:numPr>
      <w:spacing w:beforeLines="100" w:afterLines="100"/>
      <w:jc w:val="both"/>
      <w:outlineLvl w:val="1"/>
    </w:pPr>
    <w:rPr>
      <w:rFonts w:ascii="黑体" w:hAnsi="Times New Roman" w:eastAsia="黑体" w:cs="Times New Roman"/>
      <w:sz w:val="21"/>
      <w:lang w:val="en-US" w:eastAsia="zh-CN" w:bidi="ar-SA"/>
    </w:rPr>
  </w:style>
  <w:style w:type="paragraph" w:customStyle="1" w:styleId="98">
    <w:name w:val="示例×："/>
    <w:basedOn w:val="97"/>
    <w:qFormat/>
    <w:uiPriority w:val="0"/>
    <w:pPr>
      <w:numPr>
        <w:numId w:val="11"/>
      </w:numPr>
      <w:spacing w:beforeLines="0" w:afterLines="0"/>
      <w:outlineLvl w:val="9"/>
    </w:pPr>
    <w:rPr>
      <w:rFonts w:ascii="宋体" w:eastAsia="宋体"/>
      <w:sz w:val="18"/>
      <w:szCs w:val="18"/>
    </w:rPr>
  </w:style>
  <w:style w:type="paragraph" w:customStyle="1" w:styleId="99">
    <w:name w:val="编号列项（三级）"/>
    <w:qFormat/>
    <w:uiPriority w:val="0"/>
    <w:rPr>
      <w:rFonts w:ascii="宋体" w:hAnsi="Times New Roman" w:eastAsia="宋体" w:cs="Times New Roman"/>
      <w:sz w:val="21"/>
      <w:lang w:val="en-US" w:eastAsia="zh-CN" w:bidi="ar-SA"/>
    </w:rPr>
  </w:style>
  <w:style w:type="paragraph" w:customStyle="1" w:styleId="100">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2">
    <w:name w:val="首示例"/>
    <w:next w:val="24"/>
    <w:link w:val="14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paragraph" w:customStyle="1" w:styleId="103">
    <w:name w:val="五级无"/>
    <w:basedOn w:val="104"/>
    <w:qFormat/>
    <w:uiPriority w:val="0"/>
    <w:pPr>
      <w:spacing w:beforeLines="0" w:afterLines="0"/>
    </w:pPr>
    <w:rPr>
      <w:rFonts w:ascii="宋体" w:eastAsia="宋体"/>
    </w:rPr>
  </w:style>
  <w:style w:type="paragraph" w:customStyle="1" w:styleId="104">
    <w:name w:val="五级条标题"/>
    <w:basedOn w:val="85"/>
    <w:next w:val="24"/>
    <w:qFormat/>
    <w:uiPriority w:val="0"/>
    <w:pPr>
      <w:outlineLvl w:val="6"/>
    </w:pPr>
  </w:style>
  <w:style w:type="paragraph" w:customStyle="1" w:styleId="105">
    <w:name w:val="标准书眉_偶数页"/>
    <w:basedOn w:val="86"/>
    <w:next w:val="1"/>
    <w:qFormat/>
    <w:uiPriority w:val="0"/>
    <w:pPr>
      <w:jc w:val="left"/>
    </w:pPr>
  </w:style>
  <w:style w:type="paragraph" w:customStyle="1" w:styleId="106">
    <w:name w:val="附录二级无"/>
    <w:basedOn w:val="52"/>
    <w:qFormat/>
    <w:uiPriority w:val="0"/>
    <w:pPr>
      <w:spacing w:beforeLines="0" w:afterLines="0"/>
    </w:pPr>
    <w:rPr>
      <w:rFonts w:ascii="宋体" w:eastAsia="宋体"/>
      <w:szCs w:val="21"/>
    </w:rPr>
  </w:style>
  <w:style w:type="paragraph" w:customStyle="1" w:styleId="107">
    <w:name w:val="终结线"/>
    <w:basedOn w:val="1"/>
    <w:qFormat/>
    <w:uiPriority w:val="0"/>
    <w:pPr>
      <w:framePr w:hSpace="181" w:vSpace="181" w:wrap="around" w:vAnchor="text" w:hAnchor="margin" w:xAlign="center" w:y="285"/>
    </w:pPr>
  </w:style>
  <w:style w:type="paragraph" w:customStyle="1" w:styleId="10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9">
    <w:name w:val="附录表标号"/>
    <w:basedOn w:val="1"/>
    <w:next w:val="24"/>
    <w:qFormat/>
    <w:uiPriority w:val="0"/>
    <w:pPr>
      <w:numPr>
        <w:ilvl w:val="0"/>
        <w:numId w:val="14"/>
      </w:numPr>
      <w:spacing w:line="14" w:lineRule="exact"/>
      <w:ind w:left="811" w:hanging="448"/>
      <w:jc w:val="center"/>
      <w:outlineLvl w:val="0"/>
    </w:pPr>
    <w:rPr>
      <w:color w:val="FFFFFF"/>
    </w:rPr>
  </w:style>
  <w:style w:type="paragraph" w:customStyle="1" w:styleId="110">
    <w:name w:val="附录四级无"/>
    <w:basedOn w:val="59"/>
    <w:qFormat/>
    <w:uiPriority w:val="0"/>
    <w:pPr>
      <w:spacing w:beforeLines="0" w:afterLines="0"/>
    </w:pPr>
    <w:rPr>
      <w:rFonts w:ascii="宋体" w:eastAsia="宋体"/>
      <w:szCs w:val="21"/>
    </w:rPr>
  </w:style>
  <w:style w:type="paragraph" w:customStyle="1" w:styleId="111">
    <w:name w:val="示例后文字"/>
    <w:basedOn w:val="24"/>
    <w:next w:val="24"/>
    <w:qFormat/>
    <w:uiPriority w:val="0"/>
    <w:pPr>
      <w:ind w:firstLine="360"/>
    </w:pPr>
    <w:rPr>
      <w:sz w:val="18"/>
    </w:rPr>
  </w:style>
  <w:style w:type="paragraph" w:customStyle="1" w:styleId="112">
    <w:name w:val="附录标识"/>
    <w:basedOn w:val="1"/>
    <w:next w:val="24"/>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5">
    <w:name w:val="示例"/>
    <w:next w:val="116"/>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1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7">
    <w:name w:val="列项◆（三级）"/>
    <w:basedOn w:val="1"/>
    <w:qFormat/>
    <w:uiPriority w:val="0"/>
    <w:pPr>
      <w:numPr>
        <w:ilvl w:val="2"/>
        <w:numId w:val="4"/>
      </w:numPr>
    </w:pPr>
    <w:rPr>
      <w:rFonts w:ascii="宋体"/>
      <w:szCs w:val="21"/>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封面标准英文名称2"/>
    <w:basedOn w:val="71"/>
    <w:qFormat/>
    <w:uiPriority w:val="0"/>
    <w:pPr>
      <w:framePr w:wrap="around" w:y="4469"/>
    </w:pPr>
  </w:style>
  <w:style w:type="paragraph" w:customStyle="1" w:styleId="120">
    <w:name w:val="封面标准文稿编辑信息"/>
    <w:basedOn w:val="79"/>
    <w:qFormat/>
    <w:uiPriority w:val="0"/>
    <w:pPr>
      <w:framePr w:wrap="around"/>
      <w:spacing w:before="180" w:line="180" w:lineRule="exact"/>
    </w:pPr>
    <w:rPr>
      <w:sz w:val="21"/>
    </w:rPr>
  </w:style>
  <w:style w:type="paragraph" w:customStyle="1" w:styleId="121">
    <w:name w:val="正文公式编号制表符"/>
    <w:basedOn w:val="24"/>
    <w:next w:val="24"/>
    <w:qFormat/>
    <w:uiPriority w:val="0"/>
    <w:pPr>
      <w:ind w:firstLine="0" w:firstLineChars="0"/>
    </w:pPr>
  </w:style>
  <w:style w:type="paragraph" w:customStyle="1" w:styleId="1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3">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24">
    <w:name w:val="正文表标题"/>
    <w:next w:val="24"/>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附录图标题"/>
    <w:basedOn w:val="1"/>
    <w:next w:val="24"/>
    <w:qFormat/>
    <w:uiPriority w:val="0"/>
    <w:pPr>
      <w:numPr>
        <w:ilvl w:val="1"/>
        <w:numId w:val="17"/>
      </w:numPr>
      <w:tabs>
        <w:tab w:val="left" w:pos="363"/>
      </w:tabs>
      <w:spacing w:beforeLines="50" w:afterLines="50"/>
      <w:ind w:left="0" w:firstLine="0"/>
      <w:jc w:val="center"/>
    </w:pPr>
    <w:rPr>
      <w:rFonts w:ascii="黑体" w:eastAsia="黑体"/>
      <w:szCs w:val="21"/>
    </w:rPr>
  </w:style>
  <w:style w:type="paragraph" w:customStyle="1" w:styleId="126">
    <w:name w:val="附录图标号"/>
    <w:basedOn w:val="1"/>
    <w:qFormat/>
    <w:uiPriority w:val="0"/>
    <w:pPr>
      <w:keepNext/>
      <w:pageBreakBefore/>
      <w:widowControl/>
      <w:numPr>
        <w:ilvl w:val="0"/>
        <w:numId w:val="17"/>
      </w:numPr>
      <w:spacing w:line="14" w:lineRule="exact"/>
      <w:ind w:left="0" w:firstLine="363"/>
      <w:jc w:val="center"/>
      <w:outlineLvl w:val="0"/>
    </w:pPr>
    <w:rPr>
      <w:color w:val="FFFFFF"/>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_Style 126"/>
    <w:unhideWhenUsed/>
    <w:qFormat/>
    <w:uiPriority w:val="99"/>
    <w:rPr>
      <w:rFonts w:ascii="Times New Roman" w:hAnsi="Times New Roman" w:eastAsia="宋体" w:cs="Times New Roman"/>
      <w:kern w:val="2"/>
      <w:sz w:val="21"/>
      <w:szCs w:val="24"/>
      <w:lang w:val="en-US" w:eastAsia="zh-CN" w:bidi="ar-SA"/>
    </w:rPr>
  </w:style>
  <w:style w:type="paragraph" w:customStyle="1" w:styleId="129">
    <w:name w:val="附录表标题"/>
    <w:basedOn w:val="1"/>
    <w:next w:val="24"/>
    <w:qFormat/>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130">
    <w:name w:val="条文脚注"/>
    <w:basedOn w:val="25"/>
    <w:qFormat/>
    <w:uiPriority w:val="0"/>
    <w:pPr>
      <w:numPr>
        <w:numId w:val="0"/>
      </w:numPr>
      <w:jc w:val="both"/>
    </w:pPr>
  </w:style>
  <w:style w:type="paragraph" w:customStyle="1" w:styleId="131">
    <w:name w:val="三级无"/>
    <w:basedOn w:val="46"/>
    <w:qFormat/>
    <w:uiPriority w:val="0"/>
    <w:pPr>
      <w:spacing w:beforeLines="0" w:afterLines="0"/>
    </w:pPr>
    <w:rPr>
      <w:rFonts w:ascii="宋体" w:eastAsia="宋体"/>
    </w:rPr>
  </w:style>
  <w:style w:type="paragraph" w:customStyle="1" w:styleId="132">
    <w:name w:val="数字编号列项（二级）"/>
    <w:qFormat/>
    <w:uiPriority w:val="0"/>
    <w:pPr>
      <w:numPr>
        <w:ilvl w:val="1"/>
        <w:numId w:val="9"/>
      </w:numPr>
      <w:jc w:val="both"/>
    </w:pPr>
    <w:rPr>
      <w:rFonts w:ascii="宋体" w:hAnsi="Times New Roman" w:eastAsia="宋体" w:cs="Times New Roman"/>
      <w:sz w:val="21"/>
      <w:lang w:val="en-US" w:eastAsia="zh-CN" w:bidi="ar-SA"/>
    </w:rPr>
  </w:style>
  <w:style w:type="paragraph" w:customStyle="1" w:styleId="133">
    <w:name w:val="一级无"/>
    <w:basedOn w:val="48"/>
    <w:qFormat/>
    <w:uiPriority w:val="0"/>
    <w:pPr>
      <w:spacing w:beforeLines="0" w:afterLines="0"/>
    </w:pPr>
    <w:rPr>
      <w:rFonts w:ascii="宋体" w:eastAsia="宋体"/>
    </w:rPr>
  </w:style>
  <w:style w:type="paragraph" w:customStyle="1" w:styleId="134">
    <w:name w:val="注×：（正文）"/>
    <w:qFormat/>
    <w:uiPriority w:val="0"/>
    <w:pPr>
      <w:numPr>
        <w:ilvl w:val="0"/>
        <w:numId w:val="18"/>
      </w:numPr>
      <w:jc w:val="both"/>
    </w:pPr>
    <w:rPr>
      <w:rFonts w:ascii="宋体" w:hAnsi="Times New Roman" w:eastAsia="宋体" w:cs="Times New Roman"/>
      <w:sz w:val="18"/>
      <w:szCs w:val="18"/>
      <w:lang w:val="en-US" w:eastAsia="zh-CN" w:bidi="ar-SA"/>
    </w:rPr>
  </w:style>
  <w:style w:type="paragraph" w:customStyle="1" w:styleId="13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6">
    <w:name w:val="_Style 134"/>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7">
    <w:name w:val="封面标准文稿编辑信息2"/>
    <w:basedOn w:val="120"/>
    <w:qFormat/>
    <w:uiPriority w:val="0"/>
    <w:pPr>
      <w:framePr w:wrap="around" w:y="4469"/>
    </w:pPr>
  </w:style>
  <w:style w:type="paragraph" w:customStyle="1" w:styleId="138">
    <w:name w:val="标准书眉一"/>
    <w:qFormat/>
    <w:uiPriority w:val="0"/>
    <w:pPr>
      <w:jc w:val="both"/>
    </w:pPr>
    <w:rPr>
      <w:rFonts w:ascii="Times New Roman" w:hAnsi="Times New Roman" w:eastAsia="宋体" w:cs="Times New Roman"/>
      <w:lang w:val="en-US" w:eastAsia="zh-CN" w:bidi="ar-SA"/>
    </w:rPr>
  </w:style>
  <w:style w:type="paragraph" w:customStyle="1" w:styleId="13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1">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142">
    <w:name w:val="Table Paragraph"/>
    <w:basedOn w:val="1"/>
    <w:qFormat/>
    <w:uiPriority w:val="1"/>
    <w:pPr>
      <w:jc w:val="left"/>
    </w:pPr>
    <w:rPr>
      <w:rFonts w:ascii="Calibri" w:hAnsi="Calibri"/>
      <w:kern w:val="0"/>
      <w:sz w:val="22"/>
      <w:szCs w:val="22"/>
      <w:lang w:eastAsia="en-US"/>
    </w:rPr>
  </w:style>
  <w:style w:type="character" w:customStyle="1" w:styleId="143">
    <w:name w:val="发布"/>
    <w:qFormat/>
    <w:uiPriority w:val="0"/>
    <w:rPr>
      <w:rFonts w:ascii="黑体" w:eastAsia="黑体"/>
      <w:spacing w:val="85"/>
      <w:w w:val="100"/>
      <w:position w:val="3"/>
      <w:sz w:val="28"/>
      <w:szCs w:val="28"/>
    </w:rPr>
  </w:style>
  <w:style w:type="character" w:customStyle="1" w:styleId="144">
    <w:name w:val="页脚 Char"/>
    <w:link w:val="18"/>
    <w:qFormat/>
    <w:uiPriority w:val="99"/>
    <w:rPr>
      <w:kern w:val="2"/>
      <w:sz w:val="18"/>
      <w:szCs w:val="18"/>
    </w:rPr>
  </w:style>
  <w:style w:type="character" w:customStyle="1" w:styleId="145">
    <w:name w:val="首示例 Char"/>
    <w:link w:val="102"/>
    <w:qFormat/>
    <w:uiPriority w:val="0"/>
    <w:rPr>
      <w:rFonts w:ascii="宋体" w:hAnsi="宋体"/>
      <w:kern w:val="2"/>
      <w:sz w:val="18"/>
      <w:szCs w:val="18"/>
      <w:lang w:val="en-US" w:eastAsia="zh-CN" w:bidi="ar-SA"/>
    </w:rPr>
  </w:style>
  <w:style w:type="character" w:customStyle="1" w:styleId="146">
    <w:name w:val="标题 1 Char"/>
    <w:link w:val="2"/>
    <w:qFormat/>
    <w:uiPriority w:val="0"/>
    <w:rPr>
      <w:b/>
      <w:bCs/>
      <w:kern w:val="44"/>
      <w:sz w:val="44"/>
      <w:szCs w:val="44"/>
    </w:rPr>
  </w:style>
  <w:style w:type="character" w:customStyle="1" w:styleId="147">
    <w:name w:val="附录公式 Char"/>
    <w:link w:val="49"/>
    <w:qFormat/>
    <w:uiPriority w:val="0"/>
    <w:rPr>
      <w:rFonts w:ascii="宋体"/>
      <w:sz w:val="21"/>
      <w:lang w:val="en-US" w:eastAsia="zh-CN" w:bidi="ar-SA"/>
    </w:rPr>
  </w:style>
  <w:style w:type="character" w:customStyle="1" w:styleId="148">
    <w:name w:val="批注主题 Char"/>
    <w:link w:val="34"/>
    <w:qFormat/>
    <w:uiPriority w:val="0"/>
    <w:rPr>
      <w:b/>
      <w:bCs/>
      <w:kern w:val="2"/>
      <w:sz w:val="21"/>
      <w:szCs w:val="24"/>
    </w:rPr>
  </w:style>
  <w:style w:type="character" w:customStyle="1" w:styleId="149">
    <w:name w:val="日期 Char"/>
    <w:link w:val="15"/>
    <w:qFormat/>
    <w:uiPriority w:val="0"/>
    <w:rPr>
      <w:kern w:val="2"/>
      <w:sz w:val="21"/>
      <w:szCs w:val="24"/>
    </w:rPr>
  </w:style>
  <w:style w:type="character" w:customStyle="1" w:styleId="150">
    <w:name w:val="正文文本 2 Char"/>
    <w:link w:val="31"/>
    <w:qFormat/>
    <w:uiPriority w:val="0"/>
    <w:rPr>
      <w:rFonts w:ascii="宋体" w:hAnsi="宋体"/>
      <w:color w:val="FF6600"/>
      <w:sz w:val="21"/>
    </w:rPr>
  </w:style>
  <w:style w:type="character" w:customStyle="1" w:styleId="151">
    <w:name w:val="段 Char"/>
    <w:link w:val="24"/>
    <w:qFormat/>
    <w:uiPriority w:val="0"/>
    <w:rPr>
      <w:rFonts w:ascii="宋体"/>
      <w:sz w:val="21"/>
      <w:lang w:val="en-US" w:eastAsia="zh-CN" w:bidi="ar-SA"/>
    </w:rPr>
  </w:style>
  <w:style w:type="character" w:customStyle="1" w:styleId="152">
    <w:name w:val="批注文字 Char"/>
    <w:link w:val="8"/>
    <w:qFormat/>
    <w:uiPriority w:val="0"/>
    <w:rPr>
      <w:kern w:val="2"/>
      <w:sz w:val="21"/>
      <w:szCs w:val="24"/>
    </w:rPr>
  </w:style>
  <w:style w:type="character" w:customStyle="1" w:styleId="153">
    <w:name w:val="批注框文本 Char"/>
    <w:link w:val="17"/>
    <w:qFormat/>
    <w:uiPriority w:val="0"/>
    <w:rPr>
      <w:kern w:val="2"/>
      <w:sz w:val="18"/>
      <w:szCs w:val="18"/>
    </w:rPr>
  </w:style>
  <w:style w:type="paragraph" w:styleId="154">
    <w:name w:val="List Paragraph"/>
    <w:basedOn w:val="1"/>
    <w:qFormat/>
    <w:uiPriority w:val="34"/>
    <w:pPr>
      <w:ind w:firstLine="420" w:firstLineChars="200"/>
    </w:pPr>
  </w:style>
  <w:style w:type="character" w:customStyle="1" w:styleId="155">
    <w:name w:val="font21"/>
    <w:basedOn w:val="38"/>
    <w:qFormat/>
    <w:uiPriority w:val="0"/>
    <w:rPr>
      <w:rFonts w:hint="eastAsia" w:ascii="宋体" w:hAnsi="宋体" w:eastAsia="宋体" w:cs="宋体"/>
      <w:color w:val="000000"/>
      <w:sz w:val="18"/>
      <w:szCs w:val="18"/>
      <w:u w:val="none"/>
    </w:rPr>
  </w:style>
  <w:style w:type="paragraph" w:customStyle="1" w:styleId="156">
    <w:name w:val="Header or footer|2"/>
    <w:basedOn w:val="1"/>
    <w:qFormat/>
    <w:uiPriority w:val="0"/>
    <w:pPr>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0379;&#28145;&#26631;&#20934;\03&#26631;&#20934;&#21046;&#23450;\05&#39318;&#25209;100&#20010;&#26631;&#20934;&#20462;&#25913;&#24635;&#32467;\&#26631;&#20934;&#27169;&#26495;\&#27169;&#26495;-&#12298;&#20379;&#28145;&#39135;&#21697;%20&#37233;&#27833;&#12299;&#26631;&#20934;&#33609;&#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A3167-5B59-45E7-9E26-31E22EDBD9FB}">
  <ds:schemaRefs/>
</ds:datastoreItem>
</file>

<file path=docProps/app.xml><?xml version="1.0" encoding="utf-8"?>
<Properties xmlns="http://schemas.openxmlformats.org/officeDocument/2006/extended-properties" xmlns:vt="http://schemas.openxmlformats.org/officeDocument/2006/docPropsVTypes">
  <Template>模板-《供深食品 酱油》标准草案.dot</Template>
  <Company>zle</Company>
  <Pages>9</Pages>
  <Words>3375</Words>
  <Characters>3836</Characters>
  <Lines>32</Lines>
  <Paragraphs>9</Paragraphs>
  <TotalTime>2</TotalTime>
  <ScaleCrop>false</ScaleCrop>
  <LinksUpToDate>false</LinksUpToDate>
  <CharactersWithSpaces>3974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2019-04-01T02:49:00Z</dcterms:created>
  <dc:creator>余海燕</dc:creator>
  <cp:lastModifiedBy>梁景文</cp:lastModifiedBy>
  <cp:lastPrinted>2021-11-23T06:55:00Z</cp:lastPrinted>
  <dcterms:modified xsi:type="dcterms:W3CDTF">2023-09-22T07:48:39Z</dcterms:modified>
  <dc:title>标准名称</dc:title>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101B732C0AEE46A38AED0589C86EB881</vt:lpwstr>
  </property>
</Properties>
</file>